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231775</wp:posOffset>
            </wp:positionV>
            <wp:extent cx="4063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218440</wp:posOffset>
            </wp:positionV>
            <wp:extent cx="40633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3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KALVISTA PHARMACEUTICALS, INC.</w:t>
      </w:r>
    </w:p>
    <w:p>
      <w:pPr>
        <w:spacing w:after="0" w:line="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8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55 Cambridge Parkway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Suite 901E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OCTOBER 13,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KalVista Pharmaceuticals, Inc.:</w:t>
      </w:r>
    </w:p>
    <w:p>
      <w:pPr>
        <w:spacing w:after="0" w:line="221"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NOTICE IS HEREBY GIVEN that the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b w:val="1"/>
          <w:bCs w:val="1"/>
          <w:color w:val="auto"/>
        </w:rPr>
        <w:t>”) of KalVista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 will be held on October 13, 2022, at 9:30 a.m. local time, at the office of the Company located at 55 Cambridge Parkway, Suite 901E, Cambridge, Massachusetts 02142.</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Annual Meeting will be held for the following purposes:</w:t>
      </w:r>
    </w:p>
    <w:p>
      <w:pPr>
        <w:spacing w:after="0" w:line="252" w:lineRule="exact"/>
        <w:rPr>
          <w:sz w:val="20"/>
          <w:szCs w:val="20"/>
          <w:color w:val="auto"/>
        </w:rPr>
      </w:pPr>
    </w:p>
    <w:p>
      <w:pPr>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to hold office until the earliest of the 2025 annual meeting of stockholders and such individual’s death, resignation or removal and the election and qualification of his or her successor;</w:t>
      </w:r>
    </w:p>
    <w:p>
      <w:pPr>
        <w:ind w:left="1080" w:hanging="424"/>
        <w:spacing w:after="0" w:line="250"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Company’s Board of Directors, of Deloitte &amp; Touche LLP as the independent registered public accounting firm of the Company for its fiscal year ending April 30, 2023;</w:t>
      </w:r>
    </w:p>
    <w:p>
      <w:pPr>
        <w:ind w:left="1080" w:hanging="424"/>
        <w:spacing w:after="0" w:line="250"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paid by us to our named executive officers as disclosed in this proxy statement;</w:t>
      </w: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20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 Only stockholders who owned common stock of the Company at the close of business on August 15, 2022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can vote at this meeting or any adjournments that take place.</w:t>
      </w:r>
    </w:p>
    <w:p>
      <w:pPr>
        <w:spacing w:after="0" w:line="172"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color w:val="auto"/>
        </w:rPr>
        <w:t xml:space="preserve">The Board of Directors of the Company recommends that you vote </w:t>
      </w:r>
      <w:r>
        <w:rPr>
          <w:rFonts w:ascii="Times New Roman" w:cs="Times New Roman" w:eastAsia="Times New Roman" w:hAnsi="Times New Roman"/>
          <w:sz w:val="18"/>
          <w:szCs w:val="18"/>
          <w:b w:val="1"/>
          <w:bCs w:val="1"/>
          <w:color w:val="auto"/>
        </w:rPr>
        <w:t>FOR ALL NOMINEES</w:t>
      </w:r>
      <w:r>
        <w:rPr>
          <w:rFonts w:ascii="Times New Roman" w:cs="Times New Roman" w:eastAsia="Times New Roman" w:hAnsi="Times New Roman"/>
          <w:sz w:val="18"/>
          <w:szCs w:val="18"/>
          <w:color w:val="auto"/>
        </w:rPr>
        <w:t xml:space="preserve"> in the election of the director nominees named in Proposal No. 1 of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&amp; Touche LLP as the independent registered public accounting firm, as described in Proposal No. 2 of the Proxy Statement;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on a non-binding advisory basis, of the compensation of our named executive officers, as described in Proposal No. 3 of the Proxy Statement.</w:t>
      </w:r>
    </w:p>
    <w:p>
      <w:pPr>
        <w:spacing w:after="0" w:line="180" w:lineRule="exact"/>
        <w:rPr>
          <w:sz w:val="20"/>
          <w:szCs w:val="20"/>
          <w:color w:val="auto"/>
        </w:rPr>
      </w:pPr>
    </w:p>
    <w:p>
      <w:pPr>
        <w:jc w:val="both"/>
        <w:ind w:left="120"/>
        <w:spacing w:after="0" w:line="274" w:lineRule="auto"/>
        <w:rPr>
          <w:sz w:val="20"/>
          <w:szCs w:val="20"/>
          <w:color w:val="auto"/>
        </w:rPr>
      </w:pPr>
      <w:r>
        <w:rPr>
          <w:rFonts w:ascii="Times New Roman" w:cs="Times New Roman" w:eastAsia="Times New Roman" w:hAnsi="Times New Roman"/>
          <w:sz w:val="17"/>
          <w:szCs w:val="17"/>
          <w:color w:val="auto"/>
        </w:rPr>
        <w:t>YOUR VOTE IS IMPORTANT. WHETHER OR NOT YOU PLAN TO ATTEND THE MEETING IN PERSON OR VIRTUALLY, WE ENCOURAGE YOU TO READ THE ACCOMPANYING PROXY STATEMENT AND OUR 2022 ANNUAL REPORT ON FORM 10-K, AND SUBMIT YOUR PROXY AS SOON AS POSSIBLE USING ONE OF THE CONVENIENT VOTING METHODS DESCRIBED IN THE “INFORMATION ABOUT THE PROXY PROCESS AND VOTING” IN THE PROXY STATEMENT. IF YOU RECEIVE MORE THAN ONE SET OF PROXY MATERIALS OR NOTICE OF INTERNET AVAILABILITY BECAUSE YOUR SHARES ARE REGISTERED IN DIFFERENT NAMES OR ADDRESSES, EACH PROXY SHOULD BE SIGNED AND SUBMITTED TO ENSURE THAT ALL OF YOUR SHARES WILL BE VOTED.</w:t>
      </w:r>
    </w:p>
    <w:p>
      <w:pPr>
        <w:spacing w:after="0" w:line="20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T. Andrew Crockett</w:t>
      </w:r>
    </w:p>
    <w:p>
      <w:pPr>
        <w:spacing w:after="0" w:line="7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22, 2022</w:t>
      </w:r>
    </w:p>
    <w:p>
      <w:pPr>
        <w:spacing w:after="0" w:line="203"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October 13, 2022: the Proxy Statement and our 2022 Annual Report on Form 10-K are available at https://ir.kalvista.com/sec-filings.</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2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PROXY STATEMENT FOR THE 2022 ANNUAL MEETING OF STOCKHOLDERS</w:t>
            </w:r>
          </w:p>
        </w:tc>
        <w:tc>
          <w:tcPr>
            <w:tcW w:w="368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4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INTERNET AVAILABILITY OF PROXY MATERIALS</w:t>
            </w:r>
          </w:p>
        </w:tc>
        <w:tc>
          <w:tcPr>
            <w:tcW w:w="582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THE PROXY PROCESS AND VOTING</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1: ELECTION OF DIRECTORS</w:t>
            </w:r>
          </w:p>
        </w:tc>
        <w:tc>
          <w:tcPr>
            <w:tcW w:w="1240" w:type="dxa"/>
            <w:vAlign w:val="bottom"/>
            <w:tcBorders>
              <w:top w:val="single" w:sz="8" w:color="0000EE"/>
            </w:tcBorders>
            <w:gridSpan w:val="2"/>
          </w:tcPr>
          <w:p>
            <w:pPr>
              <w:spacing w:after="0"/>
              <w:rPr>
                <w:sz w:val="17"/>
                <w:szCs w:val="17"/>
                <w:color w:val="auto"/>
              </w:rPr>
            </w:pPr>
          </w:p>
        </w:tc>
        <w:tc>
          <w:tcPr>
            <w:tcW w:w="5020" w:type="dxa"/>
            <w:vAlign w:val="bottom"/>
            <w:gridSpan w:val="7"/>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91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2: RATIFICATION OF SELECTION OF INDEPENDENT REGISTERED PUBLIC ACCOUNTING FIRM</w:t>
            </w:r>
          </w:p>
        </w:tc>
        <w:tc>
          <w:tcPr>
            <w:tcW w:w="8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84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3: ADVISORY VOTE ON THE COMPENSATION OF OUR NAMED EXECUTIVE OFFICERS</w:t>
            </w:r>
          </w:p>
        </w:tc>
        <w:tc>
          <w:tcPr>
            <w:tcW w:w="1540" w:type="dxa"/>
            <w:vAlign w:val="bottom"/>
            <w:gridSpan w:val="2"/>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3380" w:type="dxa"/>
            <w:vAlign w:val="bottom"/>
            <w:tcBorders>
              <w:top w:val="single" w:sz="8" w:color="0000EE"/>
            </w:tcBorders>
            <w:gridSpan w:val="7"/>
          </w:tcPr>
          <w:p>
            <w:pPr>
              <w:spacing w:after="0"/>
              <w:rPr>
                <w:sz w:val="17"/>
                <w:szCs w:val="17"/>
                <w:color w:val="auto"/>
              </w:rPr>
            </w:pPr>
          </w:p>
        </w:tc>
        <w:tc>
          <w:tcPr>
            <w:tcW w:w="424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54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4500" w:type="dxa"/>
            <w:vAlign w:val="bottom"/>
            <w:gridSpan w:val="6"/>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420" w:type="dxa"/>
            <w:vAlign w:val="bottom"/>
            <w:tcBorders>
              <w:top w:val="single" w:sz="8" w:color="0000EE"/>
            </w:tcBorders>
          </w:tcPr>
          <w:p>
            <w:pPr>
              <w:spacing w:after="0"/>
              <w:rPr>
                <w:sz w:val="17"/>
                <w:szCs w:val="17"/>
                <w:color w:val="auto"/>
              </w:rPr>
            </w:pPr>
          </w:p>
        </w:tc>
        <w:tc>
          <w:tcPr>
            <w:tcW w:w="7640" w:type="dxa"/>
            <w:vAlign w:val="bottom"/>
            <w:gridSpan w:val="1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520" w:type="dxa"/>
            <w:vAlign w:val="bottom"/>
            <w:gridSpan w:val="10"/>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4320" w:type="dxa"/>
            <w:vAlign w:val="bottom"/>
            <w:tcBorders>
              <w:top w:val="single" w:sz="8" w:color="0000EE"/>
            </w:tcBorders>
            <w:gridSpan w:val="8"/>
          </w:tcPr>
          <w:p>
            <w:pPr>
              <w:spacing w:after="0"/>
              <w:rPr>
                <w:sz w:val="17"/>
                <w:szCs w:val="17"/>
                <w:color w:val="auto"/>
              </w:rPr>
            </w:pPr>
          </w:p>
        </w:tc>
        <w:tc>
          <w:tcPr>
            <w:tcW w:w="3240" w:type="dxa"/>
            <w:vAlign w:val="bottom"/>
            <w:gridSpan w:val="3"/>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55 Cambridge Parkway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Suite 901E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October 13, 2022</w:t>
      </w:r>
    </w:p>
    <w:p>
      <w:pPr>
        <w:spacing w:after="0" w:line="203" w:lineRule="exact"/>
        <w:rPr>
          <w:sz w:val="20"/>
          <w:szCs w:val="20"/>
          <w:color w:val="auto"/>
        </w:rPr>
      </w:pPr>
    </w:p>
    <w:p>
      <w:pPr>
        <w:jc w:val="both"/>
        <w:ind w:left="120" w:right="20"/>
        <w:spacing w:after="0" w:line="262" w:lineRule="auto"/>
        <w:rPr>
          <w:sz w:val="20"/>
          <w:szCs w:val="20"/>
          <w:color w:val="auto"/>
        </w:rPr>
      </w:pPr>
      <w:r>
        <w:rPr>
          <w:rFonts w:ascii="Times New Roman" w:cs="Times New Roman" w:eastAsia="Times New Roman" w:hAnsi="Times New Roman"/>
          <w:sz w:val="18"/>
          <w:szCs w:val="18"/>
          <w:color w:val="auto"/>
        </w:rPr>
        <w:t>We have sent you this Proxy Statement and the enclosed Proxy Card because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KalVista Pharmaceuticals, Inc. (referred to herein 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KalVista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is soliciting your proxy to vote at our 2022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to be held on October 13, 2022, at 9:30 a.m. local time, at the office of the Company located at 55 Cambridge Parkway, Suite 901E, Cambridge, Massachusetts 02142.</w:t>
      </w:r>
    </w:p>
    <w:p>
      <w:pPr>
        <w:spacing w:after="0" w:line="207" w:lineRule="exact"/>
        <w:rPr>
          <w:sz w:val="20"/>
          <w:szCs w:val="20"/>
          <w:color w:val="auto"/>
        </w:rPr>
      </w:pPr>
    </w:p>
    <w:p>
      <w:pPr>
        <w:ind w:left="980" w:right="20" w:hanging="432"/>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summarizes information about the proposals to be considered at the Annual Meeting and other information you may find useful in determining how to vote.</w:t>
      </w:r>
    </w:p>
    <w:p>
      <w:pPr>
        <w:ind w:left="980" w:right="20" w:hanging="432"/>
        <w:spacing w:after="0" w:line="26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is a means by which you may vote your shares or authorize another person to vote your shares in accordance with your instructions.</w:t>
      </w:r>
    </w:p>
    <w:p>
      <w:pPr>
        <w:spacing w:after="0" w:line="18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remuneration,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176" w:lineRule="exact"/>
        <w:rPr>
          <w:sz w:val="20"/>
          <w:szCs w:val="20"/>
          <w:color w:val="auto"/>
        </w:rPr>
      </w:pPr>
    </w:p>
    <w:p>
      <w:pPr>
        <w:jc w:val="both"/>
        <w:ind w:left="120" w:right="20"/>
        <w:spacing w:after="0" w:line="262" w:lineRule="auto"/>
        <w:rPr>
          <w:sz w:val="20"/>
          <w:szCs w:val="20"/>
          <w:color w:val="auto"/>
        </w:rPr>
      </w:pPr>
      <w:r>
        <w:rPr>
          <w:rFonts w:ascii="Times New Roman" w:cs="Times New Roman" w:eastAsia="Times New Roman" w:hAnsi="Times New Roman"/>
          <w:sz w:val="18"/>
          <w:szCs w:val="18"/>
          <w:color w:val="auto"/>
        </w:rPr>
        <w:t>The only outstanding voting securities of KalVista are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which there were 24,570,872 shares outstanding as of August 15, 2022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(excluding any treasury shares). The holders of a majority in voting power of the shares of common stock issued and outstanding and entitled to vote, present in person or represented by proxy, are required to hold the Annual Meeting.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1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Pursuant to the rules adopted by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we have elected to provide access to our Annual Meeting materials, which include this Proxy Statement and our Annual Report on Form 10-K for the year ended April 30, 2022 (as amended, the “</w:t>
      </w:r>
      <w:r>
        <w:rPr>
          <w:rFonts w:ascii="Times New Roman" w:cs="Times New Roman" w:eastAsia="Times New Roman" w:hAnsi="Times New Roman"/>
          <w:sz w:val="18"/>
          <w:szCs w:val="18"/>
          <w:b w:val="1"/>
          <w:bCs w:val="1"/>
          <w:i w:val="1"/>
          <w:iCs w:val="1"/>
          <w:color w:val="auto"/>
        </w:rPr>
        <w:t>Form 10-K</w:t>
      </w:r>
      <w:r>
        <w:rPr>
          <w:rFonts w:ascii="Times New Roman" w:cs="Times New Roman" w:eastAsia="Times New Roman" w:hAnsi="Times New Roman"/>
          <w:sz w:val="18"/>
          <w:szCs w:val="18"/>
          <w:color w:val="auto"/>
        </w:rPr>
        <w:t>”) over the internet in lieu of mailing printed copies. We intend to first make available the Notice of Internet Availability to our stockholders of record as of the Record Date for the first time on or about August 22, 2022. The Notice of Internet Availability will contain instructions on how to access and review the Annual Meeting materials, and will also contain instructions on how to request a printed copy of the Annual Meeting materials. In addition, we have provided brokers, dealers, banks, voting trustees and their nominees, at our expense, with additional copies of our proxy materials and the Form 10-K so that our record holders can supply these materials to the beneficial owners of shares of our common stock as of the Record Date. The Form 10-K is also available in the “SEC Filings” section of our website at https://ir.kalvista.com/sec-filings.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THE PROXY PROCESS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made this Proxy Statement and Proxy Card available to you on the internet or, upon your request, have delivered printed proxy materials to you, because the Board is soliciting your proxy to vote at the Annual Meeting, including at any adjournments or postponements of the Annual Meeting. You are invited to attend the Annual Meeting to vote on the proposals described in this Proxy Statement. However, you do not need to attend the Annual Meeting to vote your shares. Instead, you may simply complete, sign and return the Proxy Card, or follow the instructions below to submit your proxy over the telephone or on the internet.</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This Proxy Statement, the Notice of Internet Availability, the Notice of Annual Meeting and accompanying Proxy Card were first made available on or about August 22, 2022 to all stockholders of record as of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August 15, 2022, will be entitled to vote at the Annual Meeting. At the close of business on the Record Date, there were 24,570,872 shares of common stock issued and outstanding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transfer agent for our common stock, American Stock Transfer &amp; Trust Company, LLC, then you are a stockholder of record. As a stockholder of record, you may vote in person at the Annual Meeting or vote by proxy. Whether or not you plan to attend the Annual Meeting, we urge you to fill out and return the Proxy Card or vote by proxy over the telephone or on the internet as instructed below to ensure your vote is counted.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Card from your broker or other agent.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being asked to vote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being asked to vote on three (3) proposals:</w:t>
      </w:r>
    </w:p>
    <w:p>
      <w:pPr>
        <w:spacing w:after="0" w:line="252" w:lineRule="exact"/>
        <w:rPr>
          <w:sz w:val="20"/>
          <w:szCs w:val="20"/>
          <w:color w:val="auto"/>
        </w:rPr>
      </w:pPr>
    </w:p>
    <w:p>
      <w:pPr>
        <w:ind w:left="980" w:right="320" w:hanging="432"/>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the election of two Class I directors to hold office until the earliest of our 2025 annual meeting of stockholders and such individual’s death, resignation or removal and the election and qualification of his or her successor (“</w:t>
      </w: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right="100" w:hanging="432"/>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the ratification of the selection, by the audit committee of our Board (the “audit committee”), of Deloitte &amp; Touche LLP as our independent registered public accounting firm for the year ending April 30, 2023 (“</w:t>
      </w:r>
      <w:r>
        <w:rPr>
          <w:rFonts w:ascii="Times New Roman" w:cs="Times New Roman" w:eastAsia="Times New Roman" w:hAnsi="Times New Roman"/>
          <w:sz w:val="18"/>
          <w:szCs w:val="18"/>
          <w:b w:val="1"/>
          <w:bCs w:val="1"/>
          <w:i w:val="1"/>
          <w:iCs w:val="1"/>
          <w:color w:val="auto"/>
        </w:rPr>
        <w:t>Proposal No. 2</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980" w:right="160" w:hanging="432"/>
        <w:spacing w:after="0" w:line="28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the approval, on a non-binding advisory basis, of the compensation paid by us to our named executive officers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 3</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you are entitled to vote on any other matters that are properly brought before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56" w:lineRule="exact"/>
        <w:rPr>
          <w:sz w:val="20"/>
          <w:szCs w:val="20"/>
          <w:color w:val="auto"/>
        </w:rPr>
      </w:pPr>
    </w:p>
    <w:p>
      <w:pPr>
        <w:ind w:left="5580" w:right="2220" w:hanging="5032"/>
        <w:spacing w:after="0" w:line="454" w:lineRule="auto"/>
        <w:tabs>
          <w:tab w:leader="none" w:pos="9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1, for each nominee you may either vote “FOR”, “AGAINST” or “ABSTAIN” from voting. 2</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2, you may either vote “FOR” or “AGAINST” the proposal or “ABSTAIN” from voting.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3, you may either vote “FOR” or “AGAINST” the proposal or “ABSTAIN” from voting.</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in person at the Annual Meeting. Alternatively, you may vote by proxy by using the accompanying Proxy Card, over the internet or by telephone. Whether or not you plan to attend the Annual Meeting, we urge you to vote by proxy to ensure your vote is counted. Even if you have submitted a proxy before the Annual Meeting, you may still attend the Annual Meeting and vote in person. In such case, your previously submitted proxy will be disregarded.</w:t>
      </w:r>
    </w:p>
    <w:p>
      <w:pPr>
        <w:spacing w:after="0" w:line="207" w:lineRule="exact"/>
        <w:rPr>
          <w:sz w:val="20"/>
          <w:szCs w:val="20"/>
          <w:color w:val="auto"/>
        </w:rPr>
      </w:pPr>
    </w:p>
    <w:p>
      <w:pPr>
        <w:ind w:left="980" w:hanging="43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Annual Meeting and we will give you a ballot when you arrive.</w:t>
      </w:r>
    </w:p>
    <w:p>
      <w:pPr>
        <w:spacing w:after="0" w:line="130" w:lineRule="exact"/>
        <w:rPr>
          <w:rFonts w:ascii="Times New Roman" w:cs="Times New Roman" w:eastAsia="Times New Roman" w:hAnsi="Times New Roman"/>
          <w:sz w:val="18"/>
          <w:szCs w:val="18"/>
          <w:color w:val="auto"/>
        </w:rPr>
      </w:pPr>
    </w:p>
    <w:p>
      <w:pPr>
        <w:ind w:left="980" w:right="140" w:hanging="432"/>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mail using the Proxy Card, simply complete, sign and date the accompanying Proxy Card and return it promptly before the Annual Meeting in the envelope provided. If you return your signed Proxy Card to us before the Annual Meeting, we will vote your shares in accordance with the Proxy Card.</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internet, follow the instructions provided on the Notice of Internet Availability.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you may vote by proxy by calling the toll-free number provided on the Notice of Internet Availability.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card and voting instructions with these proxy materials from that organization rather than from us. Simply complete and mail the voting instruction card to ensure that your vote is counted. To vote in person at the Annual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American Stock Transfer &amp; Trust Company, LLC (“</w:t>
      </w:r>
      <w:r>
        <w:rPr>
          <w:rFonts w:ascii="Times New Roman" w:cs="Times New Roman" w:eastAsia="Times New Roman" w:hAnsi="Times New Roman"/>
          <w:sz w:val="18"/>
          <w:szCs w:val="18"/>
          <w:b w:val="1"/>
          <w:bCs w:val="1"/>
          <w:i w:val="1"/>
          <w:iCs w:val="1"/>
          <w:color w:val="auto"/>
        </w:rPr>
        <w:t>AST</w:t>
      </w:r>
      <w:r>
        <w:rPr>
          <w:rFonts w:ascii="Times New Roman" w:cs="Times New Roman" w:eastAsia="Times New Roman" w:hAnsi="Times New Roman"/>
          <w:sz w:val="18"/>
          <w:szCs w:val="18"/>
          <w:color w:val="auto"/>
        </w:rPr>
        <w:t>”), has been engaged as our independent agent to tabulate stockholder votes, and a representative of AST will be appointed to act as Inspector of Elections. If you are a stockholder of record, your executed Proxy Card is returned directly to AST for tabulation. As noted above, if you hold your shares through a broker, your broker returns one Proxy Card to AST on behalf of all its clients.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1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Votes will be counted by the Inspector of Elections appointed for the Annual Meeting, who will separately count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votes and abstentions. If your shares are held by your broker as your nominee (that is,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“routine” items, but not with respect to “non-routine” items. At our Annual Meeting, only Proposal No. 2 is considered a routine matter, and the other proposals presented at the Annual Meeting are considered non-routine matters. Since brokers have discretionary authority to vote on routine proposals, there are no broker non-votes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 Proposal No. 2, though there may be broker non-votes for all other proposals. If a broker chooses not to vote shares for or against Proposal No. 2, it would have the same effect as an abstention. See below for more information regarding: “</w:t>
      </w:r>
      <w:r>
        <w:rPr>
          <w:rFonts w:ascii="Times New Roman" w:cs="Times New Roman" w:eastAsia="Times New Roman" w:hAnsi="Times New Roman"/>
          <w:sz w:val="18"/>
          <w:szCs w:val="18"/>
          <w:b w:val="1"/>
          <w:bCs w:val="1"/>
          <w:color w:val="auto"/>
        </w:rPr>
        <w:t>What are “broker non-votes”?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Which ballot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measures are considered “routine” or “non-routine”?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With respect to your shares that are registered directly in your name with our transfer agent, AST, you are considered the “stockholder of record” and the Proxy Statement has been sent directly to you by us. As the stockholder of record, you have the right to grant your voting proxy directly to us or to a third party, or to vote in person at the 2022 Annual Meeting.</w:t>
      </w:r>
    </w:p>
    <w:p>
      <w:pPr>
        <w:spacing w:after="0" w:line="17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With respect to your shares that are held by a brokerage account or by another nominee, you are considered the “beneficial owner” of shares held in “street name” and the Proxy Statement is being forwarded to you together with voting instructions on behalf of your broker, trustee or nominee. As the beneficial owner, you have the right to direct your broker, trustee or nominee how to vote, and you are also invited to attend the 2022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2022 Annual Meeting unless you obtain a “legal proxy” from the broker, trustee or nominee that holds your shares, giving you the right to vote the shares at the 2022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w:t>
      </w:r>
    </w:p>
    <w:p>
      <w:pPr>
        <w:spacing w:after="0" w:line="18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color w:val="auto"/>
        </w:rPr>
        <w:t>Even though we are listed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the rules of the New York Stock Exchange (the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govern how a broker licensed by the NYSE can vote shares it holds on behalf of stockholders of Nasdaq-listed companies. As a result:</w:t>
      </w:r>
    </w:p>
    <w:p>
      <w:pPr>
        <w:spacing w:after="0" w:line="64" w:lineRule="exact"/>
        <w:rPr>
          <w:sz w:val="20"/>
          <w:szCs w:val="20"/>
          <w:color w:val="auto"/>
        </w:rPr>
      </w:pPr>
    </w:p>
    <w:p>
      <w:pPr>
        <w:ind w:left="980" w:right="60" w:hanging="432"/>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will not have the authority to exercise discretion to vote your shares with respect to Proposal No. 1 (the election of directors) or Proposal No. 3 (the advisory vote on named executive officer compensation).</w:t>
      </w:r>
    </w:p>
    <w:p>
      <w:pPr>
        <w:spacing w:after="0" w:line="67" w:lineRule="exact"/>
        <w:rPr>
          <w:rFonts w:ascii="Times New Roman" w:cs="Times New Roman" w:eastAsia="Times New Roman" w:hAnsi="Times New Roman"/>
          <w:sz w:val="18"/>
          <w:szCs w:val="18"/>
          <w:color w:val="auto"/>
        </w:rPr>
      </w:pPr>
    </w:p>
    <w:p>
      <w:pPr>
        <w:ind w:left="980" w:right="120" w:hanging="432"/>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will have the authority to exercise discretion to vote your shares with respect to Proposal No. 2 (the appointment of Deloitte &amp; Touche LLP as our independent registered public accounting firm for the year ending April 30, 2023), because that matter is treated as routine under NYSE rules.</w:t>
      </w:r>
    </w:p>
    <w:p>
      <w:pPr>
        <w:spacing w:after="0" w:line="176"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Because the proposals to be acted upon at the 2022 Annual Meeting include both routine and non-routine matters, if you do not give voting instructions to your broker, trustee or nominee, your broker, trustee or nominee may either (i) vote your shares on routine matters or (ii) leave your shares unvoted.</w:t>
      </w:r>
    </w:p>
    <w:p>
      <w:pPr>
        <w:spacing w:after="0" w:line="14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Which ballot measures are considered “routine” or “non-routine?”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our Annual Meeting, only the ratification of the appointment of Deloitte &amp; Touche LLP as our independent registered public accounting firm for the year ending April 30, 2023 (Proposal No. 2) is considered routine under applicable rules. A broker or other nominee may generally vote on routine matters, and therefore no broker non-votes are expected to exist in connection with Proposal No. 2. The other proposals presented at the Annual Meeting (Proposals No. 1 and 3) are considered non-routine under applicable rules. A broker or other nominee cannot vote without instructions on non-routine matters, and therefore there may be broker non-votes on Proposals No. 1 and 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of the proposals?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For Proposal No. 1, each director must be elected by a majority of the votes cast. Our bylaws were amended by our Board in June 2021 to provide a majority voting standard for the election of directors in an uncontested election, such as this election. Accordingly, for Proposal 1 to elect the two directors to our Board, a director nominee must receive a greater number of votes cast “For” such director nominee than votes “Against” such director nominee to be elected. You may either vote “For” each of the nominees or “Against” with respect to one or both of the nominees. You may not cumulate votes in the election of directors. Abstentions and broker non-votes will not be counted to determine whether a nominee receives a majority of votes cast.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Approval for each of the ratification of the appointment of our independent registered public accounting firm for the year ending April 30, 2023 (Proposal No. 2) and, on a non-binding advisory basis, the compensation of our named executive officers (Proposal No. 3), will be obtained if the number of votes cast “For” the proposal exceeds the number of votes cast “Against” the proposal. Abstentions and broker non-votes, as applicable, are counted for purposes of determining whether a quorum is present, but will not have any effect on the approval of any proposals.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 We do not have cumulative voting rights for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and you return a signed proxy card but do not indicate how you wish to vote, we will vote your shares in the manner recommended by our Board on all matters presented in this Proxy Statement and as we may determine in our discretion with respect to any other matters properly presented for a vote at the Annual Meeting. If you do not return the proxy card, your shares will not be voted and will not be deemed present for the purpose of determining whether a quorum exists.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Voting Recommendations</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Board recommends that you vote “FOR” the Class I director nominees named in this Proxy Statement (Proposal No. 1), “FOR” the ratification of the appointment of Deloitte &amp; Touche LLP as our independent registered public accounting firm for the fiscal year ending April 30, 2023 (Proposal No. 2), and “FOR” the approval, on a non-binding advisory basis, of the compensation of our Named Executive Officers, as disclosed in this Proxy Statement (Proposal No. 3). None of our directors or executive officers has any substantial interest in any matter to be acted upon, other than Proposal No. 3 and elections to office with respect to the directors so nominated in Proposal No. 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materials?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89" w:lineRule="exact"/>
        <w:rPr>
          <w:sz w:val="20"/>
          <w:szCs w:val="20"/>
          <w:color w:val="auto"/>
        </w:rPr>
      </w:pPr>
    </w:p>
    <w:p>
      <w:pPr>
        <w:ind w:left="980" w:hanging="432"/>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at a later date.</w:t>
      </w:r>
    </w:p>
    <w:p>
      <w:pPr>
        <w:spacing w:after="0" w:line="27" w:lineRule="exact"/>
        <w:rPr>
          <w:rFonts w:ascii="Times New Roman" w:cs="Times New Roman" w:eastAsia="Times New Roman" w:hAnsi="Times New Roman"/>
          <w:sz w:val="18"/>
          <w:szCs w:val="18"/>
          <w:color w:val="auto"/>
        </w:rPr>
      </w:pPr>
    </w:p>
    <w:p>
      <w:pPr>
        <w:ind w:left="980" w:right="740" w:hanging="432"/>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our Corporate Secretary at 55 Cambridge Parkway, Suite 901E, Cambridge, Massachusetts 02142.</w:t>
      </w:r>
    </w:p>
    <w:p>
      <w:pPr>
        <w:ind w:left="980" w:hanging="432"/>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in person. Simply attending the Annual Meeting will not, by itself, revoke your proxy.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them.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April 24, 2023, to our Corporate Secretary at 55 Cambridge Parkway, Suite 901E, Cambridge, Massachusetts 02142; provided that if the date of the annual meeting is more than 30 days from October 13, 2023 the deadline is a reasonable time before we begin to print and send our proxy materials for next year’s annual meeting. Pursuant to our bylaws, in order for a stockholder to present a proposal for next year’s annual meeting, other than proposals to be included in the proxy statement as described above, or to nominate a director, you must do so between close of business on June 15, 2023 and close of business on July 15, 2023; provided that if the date of that annual meeting is more than 30 days before or after October 13, 2023, you must give notice on or before 10 days after the day on which the date of the annual meeting is first disclosed in a public announcement. You are also advised to review our bylaws, which contain additional requirements about advance notice of stockholder proposals and director nominations.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stockholder meeting. A quorum will be present if the holders of a majority in voting power of the shares of common stock issued and outstanding and entitled to vote are present in person or represented by proxy at the Annual Meeting. On the Record Date, there were 24,570,872 shares outstanding and entitled to vote. Accordingly, 12,285,437 shares must be represented by stockholders present or represented by proxy at the Annual Meeting in order to have a quorum.</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vote at the Annual Meeting. Abstentions and broker non-votes will be counted towards the quorum requirement. If there is no quorum, the Chairman of the Annual Meeting may adjourn the Annual Meeting to another time or place.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October 13, 2022, at 9:30 a.m. local time, at the office of the Company located at 55 Cambridge Parkway, Suite 901E, Cambridge, Massachusetts 02142 and will begin promptly at 9:30 a.m. local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Stockholders of record must bring a form of valid photo identification such as a driver’s license or a passport so their share ownership can be verified. A beneficial owner holding shares in “street name” must also bring an account statement or letter from his or her bank or brokerage firm showing that he or she beneficially owns shares as of the close of business on the Record Date, along with a form of valid photo identification.</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320" w:top="455" w:right="6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Each class has a staggered, three-year term. Unless the Board determines that vacancies shall be filled by the stockholders, and except as otherwise provided by law, vacancies (including vacancies created by increases in the number of directors) on the Board may be filled only by the affirmative vote of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currently consists of seven directors, divided into the three following classes:</w:t>
      </w:r>
    </w:p>
    <w:p>
      <w:pPr>
        <w:spacing w:after="0" w:line="250"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I directors</w:t>
      </w:r>
      <w:r>
        <w:rPr>
          <w:rFonts w:ascii="Times New Roman" w:cs="Times New Roman" w:eastAsia="Times New Roman" w:hAnsi="Times New Roman"/>
          <w:sz w:val="18"/>
          <w:szCs w:val="18"/>
          <w:color w:val="auto"/>
        </w:rPr>
        <w:t>: T. Andrew Crockett and Brian J. G. Pereira, M.D., whose current terms will expire at the Annual Meeting;</w:t>
      </w:r>
    </w:p>
    <w:p>
      <w:pPr>
        <w:spacing w:after="0" w:line="2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II directors</w:t>
      </w:r>
      <w:r>
        <w:rPr>
          <w:rFonts w:ascii="Times New Roman" w:cs="Times New Roman" w:eastAsia="Times New Roman" w:hAnsi="Times New Roman"/>
          <w:sz w:val="18"/>
          <w:szCs w:val="18"/>
          <w:color w:val="auto"/>
        </w:rPr>
        <w:t>: Patrick Treanor and Edward W. Unkart, whose current terms will expire at the annual meeting to be held in 2023; and</w:t>
      </w:r>
    </w:p>
    <w:p>
      <w:pPr>
        <w:spacing w:after="0" w:line="9" w:lineRule="exact"/>
        <w:rPr>
          <w:rFonts w:ascii="Times New Roman" w:cs="Times New Roman" w:eastAsia="Times New Roman" w:hAnsi="Times New Roman"/>
          <w:sz w:val="18"/>
          <w:szCs w:val="18"/>
          <w:color w:val="auto"/>
        </w:rPr>
      </w:pPr>
    </w:p>
    <w:p>
      <w:pPr>
        <w:ind w:left="1080" w:right="520" w:hanging="424"/>
        <w:spacing w:after="0" w:line="260"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III directors</w:t>
      </w:r>
      <w:r>
        <w:rPr>
          <w:rFonts w:ascii="Times New Roman" w:cs="Times New Roman" w:eastAsia="Times New Roman" w:hAnsi="Times New Roman"/>
          <w:sz w:val="18"/>
          <w:szCs w:val="18"/>
          <w:color w:val="auto"/>
        </w:rPr>
        <w:t>: Albert Cha, M.D., Ph.D., Martin Edwards, M.D. and Nancy Stuart, whose current terms will expire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to be held in 2024.</w:t>
      </w:r>
    </w:p>
    <w:p>
      <w:pPr>
        <w:spacing w:after="0" w:line="18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will then expire will be elected to serve from the time of election and qualification until the third subsequent annual meeting of stockholders and until their successors are duly elected and qualified, or until their death, resignation or removal.</w:t>
      </w:r>
    </w:p>
    <w:p>
      <w:pPr>
        <w:spacing w:after="0" w:line="176"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Mr. Crockett and Dr. Pereira have been nominated to serve as Class I directors and have each consented to stand for reelection. Each director to be elected will hold office from the date of their election by the stockholders until the third subsequent annual meeting of stockholders or until their successor is elected and has been qualified, or until such director’s earlier death, resignation or removal.</w:t>
      </w:r>
    </w:p>
    <w:p>
      <w:pPr>
        <w:spacing w:after="0" w:line="176" w:lineRule="exact"/>
        <w:rPr>
          <w:sz w:val="20"/>
          <w:szCs w:val="20"/>
          <w:color w:val="auto"/>
        </w:rPr>
      </w:pPr>
    </w:p>
    <w:p>
      <w:pPr>
        <w:jc w:val="both"/>
        <w:ind w:left="120" w:right="380"/>
        <w:spacing w:after="0" w:line="261" w:lineRule="auto"/>
        <w:rPr>
          <w:sz w:val="20"/>
          <w:szCs w:val="20"/>
          <w:color w:val="auto"/>
        </w:rPr>
      </w:pPr>
      <w:r>
        <w:rPr>
          <w:rFonts w:ascii="Times New Roman" w:cs="Times New Roman" w:eastAsia="Times New Roman" w:hAnsi="Times New Roman"/>
          <w:sz w:val="18"/>
          <w:szCs w:val="18"/>
          <w:color w:val="auto"/>
        </w:rPr>
        <w:t>Shares represented by executed proxies will be voted, if authority to do so is not withheld, for the election of the two nominees named above. In the event that any nominee should be unavailable for election as a result of an unexpected occurrence, such shares will be voted for the election of such substitute nominee as the Board may propose. Each person nominated for election has agreed to serve if elected, and management has no reason to believe that any nominee will be unable to serve. Directors are elected by a majority of the votes cast at the meeting.</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 </w:t>
      </w:r>
      <w:r>
        <w:rPr>
          <w:rFonts w:ascii="Times New Roman" w:cs="Times New Roman" w:eastAsia="Times New Roman" w:hAnsi="Times New Roman"/>
          <w:sz w:val="18"/>
          <w:szCs w:val="18"/>
          <w:b w:val="1"/>
          <w:bCs w:val="1"/>
          <w:color w:val="auto"/>
        </w:rPr>
        <w:t>THE ELECTION OF T. ANDREW CROCKETT AND BRIAN J. G. PEREIRA AS CLASS I DIRECTORS</w:t>
      </w:r>
    </w:p>
    <w:p>
      <w:pPr>
        <w:spacing w:after="0" w:line="207"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The following table sets forth, for the Class I director nominees (who are currently standing for re-election) and for our other current directors who will continue in office after the Annual Meeting, information with respect to their ages and position/office held within the Company as of August 15, 2022:</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Age</w:t>
            </w:r>
          </w:p>
        </w:tc>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Position/Office Held With the Company</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Class I Director Nominees whose terms expire at the Annual Meeting</w:t>
            </w: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 Andrew Crockett</w:t>
            </w:r>
          </w:p>
        </w:tc>
        <w:tc>
          <w:tcPr>
            <w:tcW w:w="1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Brian J. G. Pereira, M.D.</w:t>
            </w:r>
            <w:r>
              <w:rPr>
                <w:rFonts w:ascii="Times New Roman" w:cs="Times New Roman" w:eastAsia="Times New Roman" w:hAnsi="Times New Roman"/>
                <w:sz w:val="25"/>
                <w:szCs w:val="25"/>
                <w:color w:val="auto"/>
                <w:vertAlign w:val="superscript"/>
              </w:rPr>
              <w:t>(1)(3)</w:t>
            </w:r>
          </w:p>
        </w:tc>
        <w:tc>
          <w:tcPr>
            <w:tcW w:w="1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96"/>
        </w:trPr>
        <w:tc>
          <w:tcPr>
            <w:tcW w:w="524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Class II Directors whose terms expire at the 2023 Annual Meeting of</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Stockholders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W. Unkart</w:t>
            </w:r>
            <w:r>
              <w:rPr>
                <w:rFonts w:ascii="Times New Roman" w:cs="Times New Roman" w:eastAsia="Times New Roman" w:hAnsi="Times New Roman"/>
                <w:sz w:val="25"/>
                <w:szCs w:val="25"/>
                <w:color w:val="auto"/>
                <w:vertAlign w:val="superscript"/>
              </w:rPr>
              <w:t>(1)</w:t>
            </w:r>
          </w:p>
        </w:tc>
        <w:tc>
          <w:tcPr>
            <w:tcW w:w="1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Patrick Treanor</w:t>
            </w:r>
          </w:p>
        </w:tc>
        <w:tc>
          <w:tcPr>
            <w:tcW w:w="1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Class III Directors whose terms expire at the 2024 Annual Meeting of</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Stockholders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Albert Cha, M.D., Ph.D.</w:t>
            </w:r>
            <w:r>
              <w:rPr>
                <w:rFonts w:ascii="Times New Roman" w:cs="Times New Roman" w:eastAsia="Times New Roman" w:hAnsi="Times New Roman"/>
                <w:sz w:val="25"/>
                <w:szCs w:val="25"/>
                <w:color w:val="auto"/>
                <w:vertAlign w:val="superscript"/>
              </w:rPr>
              <w:t>(2)</w:t>
            </w:r>
          </w:p>
        </w:tc>
        <w:tc>
          <w:tcPr>
            <w:tcW w:w="1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Martin Edwards, M.D.</w:t>
            </w:r>
            <w:r>
              <w:rPr>
                <w:rFonts w:ascii="Times New Roman" w:cs="Times New Roman" w:eastAsia="Times New Roman" w:hAnsi="Times New Roman"/>
                <w:sz w:val="25"/>
                <w:szCs w:val="25"/>
                <w:color w:val="auto"/>
                <w:vertAlign w:val="superscript"/>
              </w:rPr>
              <w:t>(2)(3)</w:t>
            </w:r>
          </w:p>
        </w:tc>
        <w:tc>
          <w:tcPr>
            <w:tcW w:w="1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Chairman</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34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Nancy Stuart</w:t>
            </w:r>
            <w:r>
              <w:rPr>
                <w:rFonts w:ascii="Times New Roman" w:cs="Times New Roman" w:eastAsia="Times New Roman" w:hAnsi="Times New Roman"/>
                <w:sz w:val="26"/>
                <w:szCs w:val="26"/>
                <w:color w:val="auto"/>
                <w:vertAlign w:val="superscript"/>
              </w:rPr>
              <w:t>(1)(3)</w:t>
            </w:r>
          </w:p>
        </w:tc>
        <w:tc>
          <w:tcPr>
            <w:tcW w:w="1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 of the Board (the “compensation committee”).</w:t>
      </w:r>
    </w:p>
    <w:p>
      <w:pPr>
        <w:ind w:left="540" w:hanging="424"/>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 of the Board (the “nominating and corporate governance committee”).</w:t>
      </w:r>
    </w:p>
    <w:p>
      <w:pPr>
        <w:spacing w:after="0" w:line="19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to conclude that they should serve as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to a Three-Year Term Expiring at the 2025 annual Meeting of Stockholders</w:t>
      </w:r>
    </w:p>
    <w:p>
      <w:pPr>
        <w:spacing w:after="0" w:line="11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b w:val="1"/>
          <w:bCs w:val="1"/>
          <w:color w:val="auto"/>
        </w:rPr>
        <w:t>T. Andrew Crockett, M.B.A., has served as a member of our Board and as our Chief Executive Officer since November 2016 and as a director and Chief Executive Officer of our wholly owned subsidiary, KalVista Pharmaceuticals Limited, since its inception in 2011. From 2010 until November 2015, Mr. Crockett was the Chief Executive Officer of Vantia Ltd. He served on the board of directors of Vantia Ltd. from 2010 to 2021. Mr. Crockett also held various senior management positions including Vice President of Business Development and Director of Clinical and Regulatory Affairs in biotech and specialty pharmaceutical companies in the United States and United Kingdom. Mr. Crockett received a B.A. from the University of Utah and an M.B.A. from The Wharton School, University of Pennsylvania, with a major in finance. We believe Mr. Crockett is qualified to serve on our Board because of his founding role with the Company and his broad experience in the biotech industry.</w:t>
      </w:r>
    </w:p>
    <w:p>
      <w:pPr>
        <w:spacing w:after="0" w:line="185"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Brian J. G. Pereira, M.D., </w:t>
      </w:r>
      <w:r>
        <w:rPr>
          <w:rFonts w:ascii="Times New Roman" w:cs="Times New Roman" w:eastAsia="Times New Roman" w:hAnsi="Times New Roman"/>
          <w:sz w:val="17"/>
          <w:szCs w:val="17"/>
          <w:color w:val="auto"/>
        </w:rPr>
        <w:t>has served as a member of our Board since February 2019. Dr. Pereira is a veteran biopharmaceutical and healthcare leader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experience in financing and growing companies. He has been President &amp; CEO of Visterra, Inc. since 2013 and continues to serve in this role after the acquisition by Otsuka in August 2018. He previously served as President &amp; CEO of AMAG Pharmaceuticals where he raised four financing rounds at increasing valuations and built the clinical development, manufacturing, supply-chain and commercial infrastructure for Feraheme. Prior to AMAG Pharmaceuticals, he held senior roles at Tufts Medical Center, including President and CEO of a Tufts Medical Center Physician Organization and interim COO. Dr. Pereira currently serves on the board of directors of ProKidney Corp., Visterra, Inc. and Africa Healthcare Network Ltd. He serves as a director of the America India Foundation. He was the Chairman of the Board of the Harvard-MIT Biomedical Enterprise Program and President and Board member of the National Kidney Foundation. Brian is an Adjunct Professor of Medicine at Tufts University School of Medicine and has authored over 200 published scientific articles. He received his medical degree (MBBS) from St. John’s Medical College, MD (Medicine) and DM (Nephrology) from the Post Graduate Institute and MBA from Kellogg School of Management at Northwestern University. We believe that Dr. Pereira is qualified to serve on our Board because of his medical and drug development background and extensive experience in and knowledge of our industry.</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 </w:t>
      </w:r>
      <w:r>
        <w:rPr>
          <w:rFonts w:ascii="Times New Roman" w:cs="Times New Roman" w:eastAsia="Times New Roman" w:hAnsi="Times New Roman"/>
          <w:sz w:val="18"/>
          <w:szCs w:val="18"/>
          <w:b w:val="1"/>
          <w:bCs w:val="1"/>
          <w:color w:val="auto"/>
        </w:rPr>
        <w:t>THE ELECTION OF EACH OF THE NOMINEES LISTED ABOVE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2023 Annual Meeting of Stockholders</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Patrick Treanor </w:t>
      </w:r>
      <w:r>
        <w:rPr>
          <w:rFonts w:ascii="Times New Roman" w:cs="Times New Roman" w:eastAsia="Times New Roman" w:hAnsi="Times New Roman"/>
          <w:sz w:val="18"/>
          <w:szCs w:val="18"/>
          <w:color w:val="auto"/>
        </w:rPr>
        <w:t>has served as a member of our Board since May 2022. Mr. Treanor currently serves as the Chief Operating Officer of Pathalys Pharma,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pharmaceutical company, since July 2021. Prior to joining Pathalys, Mr. Treanor worked at Relypsa, Inc. now Vifor Pharma Inc., a pharmaceutical company, from May of 2015 to June 2021 having served as President of Vifor North America from 2018-2020 and as a consultant to the CEO through 2021. Prior to that, he was the Vice President of Sales and Managed Markets at lnsulet Corporation, a medical device company, from March 2011 to April 2015. Mr. Treanor was the Vice President of US Sales at AMAG Pharmaceuticals, Inc. He was also employed at Oscient Pharmaceuticals, a pharmaceutical company, from 2004-2007 where he rose to the position of Vice President of Sales. Mr. Treanor has also held various roles of increasing responsibility at Abbott Laboratories and Johnson and Johnson from 1993 to 2004. Mr. Treanor holds an M.B.A. from Rensselaer Polytechnic Institute and a B.S. from Bryant University. We believe Mr. Treanor is qualified to serve on our Board because of his business leadership and commercial experience in the biopharmaceutical and biotechnology industries.</w:t>
      </w:r>
    </w:p>
    <w:p>
      <w:pPr>
        <w:spacing w:after="0" w:line="188"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Edward W. Unkart </w:t>
      </w:r>
      <w:r>
        <w:rPr>
          <w:rFonts w:ascii="Times New Roman" w:cs="Times New Roman" w:eastAsia="Times New Roman" w:hAnsi="Times New Roman"/>
          <w:sz w:val="18"/>
          <w:szCs w:val="18"/>
          <w:color w:val="auto"/>
        </w:rPr>
        <w:t>has served as a member of our Board since December 2014. From August 2006 to August 2009, Mr. Unkart served as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XTENT, a publicly traded manufacturer of drug-eluting stent systems, where he was the chair of the company’s audit committee and a member of the nominating and governance committee. From October 2004 to June 2009, Mr. Unkart served as a member of the board of directors of VNUS Medical</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Technologies, a publicly traded medical device company, where he was the Chair of the company’s audit committee and a member of the compensation committee. From January 2005 to December 2008, Mr. Unkart served as Vice President of Finance and Administration and Chief Financial Officer of SurgRx, a manufacturer of medical devices. Mr. Unkart is a Certified Public Accountant and holds a B.S. and an M.B.A. from Stanford University. We believe Mr. Unkart is qualified to serve on our Board because of his finance and accounting expertise and education and his experience gained through his board and officer positions at other life sciences companies.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2024 Annual Meeting of Stockholders</w:t>
      </w:r>
    </w:p>
    <w:p>
      <w:pPr>
        <w:spacing w:after="0" w:line="11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Albert Cha, M.D., Ph.D., </w:t>
      </w:r>
      <w:r>
        <w:rPr>
          <w:rFonts w:ascii="Times New Roman" w:cs="Times New Roman" w:eastAsia="Times New Roman" w:hAnsi="Times New Roman"/>
          <w:sz w:val="18"/>
          <w:szCs w:val="18"/>
          <w:color w:val="auto"/>
        </w:rPr>
        <w:t>has served as a member of our Board since the consummation of the Carbylan Therapeutics, Inc. transaction in 2016. Dr. Cha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a member of the Carbylan board of directors starting in November 2007. Since February 2021, Dr. Cha has served as a Managing Partner of Frazier Life Sciences, a healthcare venture capital firm. From September 2000 to November 2020, Dr. Cha held various positions at Vivo Capital, a healthcare investment firm, where he served most recently as a Managing Partner. Dr. Cha currently serves as chairman of the board of directors of Ascendis Pharma A/S. During the past five years, he also served as a member of the boards of directors of Biohaven Pharmaceutical Holding Company Ltd., Aclaris Therapeutics, Inc. and Sierra Oncology, Inc. (formerly ProNAi Therapeutics, Inc.). Dr. Cha received a B.S. and an M.S. from Stanford University and an M.D. and a Ph.D. from the University of California at Los Angeles. We believe Dr. Cha is qualified to serve on our Board because of his medical background, venture capital experience and significant experience serving as a director of other life sciences companies.</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Martin Edwards, MBChB., </w:t>
      </w:r>
      <w:r>
        <w:rPr>
          <w:rFonts w:ascii="Times New Roman" w:cs="Times New Roman" w:eastAsia="Times New Roman" w:hAnsi="Times New Roman"/>
          <w:sz w:val="18"/>
          <w:szCs w:val="18"/>
          <w:color w:val="auto"/>
        </w:rPr>
        <w:t>has served as a member of our Board since June 2019. He currently also serves on the board of directors of Verona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 Reata Pharmaceuticals, Inozyme Pharma Inc. and Morphic Therapeutic. Dr. Edwards recently retired as a Senior Partner at Novo Ventures, the venture capital arm of Novo A/S from 2003 to 2020. Earlier in his career, he was Corporate VP and Global Head of Drug Development for Novo Nordisk A/S, where he led pre-clinical and clinical drug development. Previously, Dr. Edwards was Chief Executive Officer of ReNeuron Ltd. and Chief Medical Officer/Vice President at Zymogenetics. Dr. Edwards was trained in physiology and medicine at the University of Manchester, where he obtained his MBChB. He was elected a Member of the Royal College of Physicians, a Member with distinction of the Royal College of General Practitioners, a Fellow of the Faculty of Pharmaceutical Medicine and holds an MBA from the University of Warwick. In 2009, Dr. Edwards was made Adjunct Professor at CBS SIMI in Copenhagen. We believe Dr. Edwards is qualified to serve on our Board because of his medical background, venture capital experience and extensive experience and knowledge in the biotechnology industry.</w:t>
      </w:r>
    </w:p>
    <w:p>
      <w:pPr>
        <w:spacing w:after="0" w:line="188"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Nancy Stuart </w:t>
      </w:r>
      <w:r>
        <w:rPr>
          <w:rFonts w:ascii="Times New Roman" w:cs="Times New Roman" w:eastAsia="Times New Roman" w:hAnsi="Times New Roman"/>
          <w:sz w:val="18"/>
          <w:szCs w:val="18"/>
          <w:color w:val="auto"/>
        </w:rPr>
        <w:t>has served as a member of our Board since March 2021. Ms. Stuart has been serving as the Chief Operating Officer of Concert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since October 2007 and was their Senior Vice President, Corporate Strategy and Operations from July 2006 to October 2007. Prior to joining Concert, Ms. Stuart held various business operations and business development positions at Amgen Inc., a biopharmaceutical company, Kinetix Pharmaceuticals, Inc., a pharmaceutical company subsequently acquired by Amgen, Vertex, a pharmaceutical company and Genzyme Corporation, a biotechnology company subsequently acquired by Sanofi S.A. She also serves on the board of directors of The Greater Boston YMCA. Ms. Stuart holds a B.S. from the Simmons College Graduate School of Management. We believe Ms. Stuart is qualified to serve on our Board because of her experience and leadership in strategic planning, business operation and business development in the biopharmaceutical and biotechnology industries.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audit committee has appointed Deloitte &amp; Touche LLP, independent registered public accounting firm, to audit our financial statements for the fiscal year ending April 30, 2023. Deloitte &amp; Touche LLP audited our financial statements for the fiscal year ended April 30, 2022. The Board recommends that our stockholders ratify this appointment. In the event our stockholders do not ratify the appointment of Deloitte &amp; Touche LLP as our independent registered public accounting firm for the fiscal year ended April 30, 2022, the audit committee will reconsider its appointment. We expect that a representative of Deloitte &amp; Touche LLP will be present at the Annual Meeting, will be able to make a statement if they so desire, and will be available to respond to appropriate questions.</w:t>
      </w:r>
    </w:p>
    <w:p>
      <w:pPr>
        <w:spacing w:after="0" w:line="187"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deciding to appoint Deloitte &amp; Touche LLP, the audit committee reviewed auditor independence issues and existing relationships with Deloitte &amp; Touche LLP and concluded that Deloitte &amp; Touche LLP has no relationship with us that would impair its independence for the fiscal year ending April 30,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fees for services provided by Deloitte &amp; Touche LLP for the fiscal years ended April 30, 2022 and 2021.</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Fees Billed to KalVista</w:t>
            </w:r>
          </w:p>
        </w:tc>
        <w:tc>
          <w:tcPr>
            <w:tcW w:w="220" w:type="dxa"/>
            <w:vAlign w:val="bottom"/>
          </w:tcPr>
          <w:p>
            <w:pPr>
              <w:spacing w:after="0"/>
              <w:rPr>
                <w:sz w:val="16"/>
                <w:szCs w:val="16"/>
                <w:color w:val="auto"/>
              </w:rPr>
            </w:pPr>
          </w:p>
        </w:tc>
        <w:tc>
          <w:tcPr>
            <w:tcW w:w="14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 2021</w:t>
            </w:r>
          </w:p>
        </w:tc>
      </w:tr>
      <w:tr>
        <w:trPr>
          <w:trHeight w:val="210"/>
        </w:trPr>
        <w:tc>
          <w:tcPr>
            <w:tcW w:w="4820" w:type="dxa"/>
            <w:vAlign w:val="bottom"/>
            <w:tcBorders>
              <w:top w:val="single" w:sz="8" w:color="auto"/>
            </w:tcBorders>
            <w:shd w:val="clear" w:color="auto" w:fill="CCEEFF"/>
          </w:tcPr>
          <w:p>
            <w:pPr>
              <w:ind w:left="40"/>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453,200.00</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441,582.52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2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fees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528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1,895.00</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1,895.00</w:t>
            </w:r>
          </w:p>
        </w:tc>
        <w:tc>
          <w:tcPr>
            <w:tcW w:w="120" w:type="dxa"/>
            <w:vAlign w:val="bottom"/>
          </w:tcPr>
          <w:p>
            <w:pPr>
              <w:spacing w:after="0"/>
              <w:rPr>
                <w:sz w:val="19"/>
                <w:szCs w:val="19"/>
                <w:color w:val="auto"/>
              </w:rPr>
            </w:pPr>
          </w:p>
        </w:tc>
      </w:tr>
      <w:tr>
        <w:trPr>
          <w:trHeight w:val="223"/>
        </w:trPr>
        <w:tc>
          <w:tcPr>
            <w:tcW w:w="5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515,096.00</w:t>
            </w:r>
          </w:p>
        </w:tc>
        <w:tc>
          <w:tcPr>
            <w:tcW w:w="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603,477.52</w:t>
            </w:r>
          </w:p>
        </w:tc>
        <w:tc>
          <w:tcPr>
            <w:tcW w:w="12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71" w:lineRule="exact"/>
        <w:rPr>
          <w:sz w:val="20"/>
          <w:szCs w:val="20"/>
          <w:color w:val="auto"/>
        </w:rPr>
      </w:pPr>
    </w:p>
    <w:p>
      <w:pPr>
        <w:ind w:left="1280" w:hanging="287"/>
        <w:spacing w:after="0" w:line="261" w:lineRule="auto"/>
        <w:rPr>
          <w:sz w:val="20"/>
          <w:szCs w:val="20"/>
          <w:color w:val="auto"/>
        </w:rPr>
      </w:pPr>
      <w:r>
        <w:rPr>
          <w:rFonts w:ascii="Times New Roman" w:cs="Times New Roman" w:eastAsia="Times New Roman" w:hAnsi="Times New Roman"/>
          <w:sz w:val="14"/>
          <w:szCs w:val="14"/>
          <w:color w:val="auto"/>
        </w:rPr>
        <w:t>(1)    “Audit fees” include fees for professional services rendered for the audits of our financial statements, review of our quarterly financial statements, and services normally provided by the independent registered accounting firm in connection with statutory and regulatory filings.</w:t>
      </w:r>
    </w:p>
    <w:p>
      <w:pPr>
        <w:spacing w:after="0" w:line="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(2)    Includes fees for comfort letters and consents associated with stock offerings.</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(3)    Accounting research software subscription</w:t>
      </w:r>
    </w:p>
    <w:p>
      <w:pPr>
        <w:spacing w:after="0" w:line="20" w:lineRule="exact"/>
        <w:rPr>
          <w:sz w:val="20"/>
          <w:szCs w:val="20"/>
          <w:color w:val="auto"/>
        </w:rPr>
      </w:pPr>
      <w:r>
        <w:rPr>
          <w:sz w:val="20"/>
          <w:szCs w:val="20"/>
          <w:color w:val="auto"/>
        </w:rPr>
        <w:br w:type="column"/>
      </w:r>
    </w:p>
    <w:p>
      <w:pPr>
        <w:ind w:left="74" w:hanging="74"/>
        <w:spacing w:after="0"/>
        <w:tabs>
          <w:tab w:leader="none" w:pos="7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221" w:lineRule="exact"/>
        <w:rPr>
          <w:rFonts w:ascii="Times New Roman" w:cs="Times New Roman" w:eastAsia="Times New Roman" w:hAnsi="Times New Roman"/>
          <w:sz w:val="14"/>
          <w:szCs w:val="14"/>
          <w:color w:val="auto"/>
        </w:rPr>
      </w:pPr>
    </w:p>
    <w:p>
      <w:pPr>
        <w:ind w:left="74" w:hanging="74"/>
        <w:spacing w:after="0"/>
        <w:tabs>
          <w:tab w:leader="none" w:pos="7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136" w:lineRule="exact"/>
        <w:rPr>
          <w:rFonts w:ascii="Times New Roman" w:cs="Times New Roman" w:eastAsia="Times New Roman" w:hAnsi="Times New Roman"/>
          <w:sz w:val="14"/>
          <w:szCs w:val="14"/>
          <w:color w:val="auto"/>
        </w:rPr>
      </w:pPr>
    </w:p>
    <w:p>
      <w:pPr>
        <w:ind w:left="74" w:hanging="74"/>
        <w:spacing w:after="0"/>
        <w:tabs>
          <w:tab w:leader="none" w:pos="7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280" w:lineRule="exact"/>
        <w:rPr>
          <w:sz w:val="20"/>
          <w:szCs w:val="20"/>
          <w:color w:val="auto"/>
        </w:rPr>
      </w:pPr>
    </w:p>
    <w:p>
      <w:pPr>
        <w:sectPr>
          <w:pgSz w:w="11900" w:h="16838" w:orient="portrait"/>
          <w:cols w:equalWidth="0" w:num="2">
            <w:col w:w="9940" w:space="186"/>
            <w:col w:w="1014"/>
          </w:cols>
          <w:pgMar w:left="320" w:top="455" w:right="439" w:bottom="1440" w:gutter="0" w:footer="0" w:header="0"/>
          <w:type w:val="continuous"/>
        </w:sectPr>
      </w:pP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83" w:lineRule="exact"/>
        <w:rPr>
          <w:sz w:val="20"/>
          <w:szCs w:val="20"/>
          <w:color w:val="auto"/>
        </w:rPr>
      </w:pPr>
    </w:p>
    <w:p>
      <w:pPr>
        <w:jc w:val="center"/>
        <w:ind w:left="50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RATIFICATION OF OUR INDEPENDENT REGISTERED PUBLIC ACCOUNTING FIRM FOR THE YEAR ENDING APRIL 30, 2023</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NON-BINDING ADVISORY VOTE ON THE COMPENSATION OF OUR NAMED EXECUTIVE OFFICERS</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accordance with the rules of the SEC, we provide our stockholders with an annual opportunity to make a non-binding, advisory vote on the compensation of our named executive officers. This non-binding advisory vote is commonly referred to as a “say on pay” vote. The non-binding advisory vote on the compensation of our named executive officers, as disclosed in this Proxy Statement, will be determined by the vote of a majority of the voting power of the shares present at the Annual Meeting or represented by proxy at the Annual Meeting and affirmatively voting “FOR” or “AGAINST” on the matter.</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Stockholders are urged to read the “Executive Compensation” section of this Proxy Statement, which discusses how our executive compensation policies and procedures implement our compensation philosophy and contains tabular information and narrative discussion about the compensation of our named executive officers. Our compensation committee and Board believe that these policies and procedures are effective in implementing our compensation philosophy and in achieving our goals. Accordingly, we ask our stockholders to vote “FOR” the following resolution at the Annual Meeting.</w:t>
      </w:r>
    </w:p>
    <w:p>
      <w:pPr>
        <w:spacing w:after="0" w:line="183"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“RESOLVED, that our stockholders approve, on a non-binding advisory basis, the compensation of the named executive officers, as disclosed in the Proxy Statement pursuant to the applicable compensation disclosure rules of the SEC, including, the compensation tables and narrative discussion and the other related disclosures.”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not binding. However, our Board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spacing w:after="0" w:line="280" w:lineRule="exact"/>
        <w:rPr>
          <w:sz w:val="20"/>
          <w:szCs w:val="20"/>
          <w:color w:val="auto"/>
        </w:rPr>
      </w:pPr>
    </w:p>
    <w:p>
      <w:pPr>
        <w:jc w:val="center"/>
        <w:ind w:left="460"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APPROVAL, ON A NON-BINDING ADVISORY BASIS, OF THE COMPENSATION OF OUR NAMED EXECUTIVE OFFICERS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color w:val="auto"/>
        </w:rPr>
        <w:t>The material in this report is not “soliciting material,” is not deemed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is not to be incorporated by reference into any filing of KalVista under the Securities Act of 1933, as amended, or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oversee our financial reporting processes on behalf of our Board. The audit committee’s functions are more fully described in its charter, which is available in the “Corporate Governance” section on our website at http://ir.kalvista.com/. Management has the primary responsibility for our financial statements and reporting processes, including our systems of internal controls. In fulfilling its oversight responsibilities, the audit committee reviewed and discussed with management KalVista’s audited financial statements as of and for the year ended April 30, 2022.</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audit committee has discussed with Deloitte &amp; Touche LLP, the Company’s independent registered public accounting firm, the matters required to be discussed by the Public Company Accounting Oversight Board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 In addition, the audit committee discussed with Deloitte &amp; Touche LLP their independence, and received from Deloitte &amp; Touche LLP the written disclosures and the letter required by applicable requirements of the PCAOB regarding the independent accountant’s communications with the audit committee concerning independence. Finally, the audit committee discussed with Deloitte &amp; Touche LLP, with and without management present, the scope and results of Deloitte &amp; Touche LLP’s audit of the Company’s financial statements for the year ended April 30, 2022.</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approved the audited financial statements be included in our Annual Report on Form 10-K for the fiscal year ended April 30, 2022 for filing with the SEC. The audit committee also has engaged Deloitte &amp; Touche LLP as our independent registered public accounting firm for the fiscal year ended April 30, 2022 and is seeking ratification of such selection by the stockholders.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Edward W. Unkart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Brian J. G. Pereira, M.D.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Nancy Stuart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and other executive and senior officers. The full text of our code of conduct and ethics is posted in the “Corporate Governance” section on our website at http://ir.kalvista.com/. The reference to our website address in this Proxy Statement does not include or incorporate by reference the information on our website into this Proxy Statement. We intend to disclose future amendments to certain provisions of our code of conduct and ethics, or waivers of these provisions, on our website or in public filings.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believe in sound corporate governance practices and have adopted formal Corporate Governance Guidelines to enhance our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our Board follows with respect to Board and committee composition and selection, Board meetings, Chief Executive Officer performance evaluation and succession planning. A copy of our Corporate Governance Guidelines is available in the “Corporate Governance” section on our website at http://ir.kalvista.com/.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Majority Voting Policy</w:t>
      </w:r>
    </w:p>
    <w:p>
      <w:pPr>
        <w:spacing w:after="0" w:line="121"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Our bylaws and corporate governance guidelines were amended by our Board in June 2021 to provide a majority voting standard for the election of directors in an uncontested election, such as this election. Further, our amended Corporate Governance Guidelines provide for a majority voting resignation policy in the election of directors in uncontested elections. This policy states that if a nominee for director in an uncontested election does not receive a majority of the votes cast, the director must submit a resignation to the Board. In order to receive a majority of the votes cast, the number of shares voted “for” must exceed the number of votes against, excluding abstentions. The nominating and corporate governance committee will evaluate and make a recommendation to the Board with respect to the proffered resignation. The Board will take action on the recommendation within 180 days following certification of the stockholder vote. The director whose resignation is under consideration cannot participate in any decision regarding his or her resignation. The nominating and corporate governance committee and the Board may consider any factors they deem relevant in deciding whether to accept a director’s resignation.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Under the rules and regulations of Nasdaq, a majority of the members of a listed company’s board of directors must qualify as “independent,” as affirmatively determined by such board. Our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180"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Consistent with these considerations, our Board has determined that all of our directors, other than Mr. Crockett, qualify as “independent” directors in accordance with Nasdaq listing requirements. Mr. Crockett is not considered independent because he is an employee of KalVista.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7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As required under Nasdaq rules and regulations, our independent directors meet in regularly scheduled executive sessions at which only independent directors are present. As described more fully below, all of the committees of our Board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comprised entirely of directors determined by our Board to meet the independence standards applicable to those committees prescribed by Nasdaq, the SEC and the Internal Revenue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bylaws and Corporate Governance Guidelines provide our Board with flexibility to combine or separate the positions of Chairman of the Board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and/or the implementation of a lead director in accordance with its determination that utilizing one or the other structure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in the best interests of the Company. The positions of Chief Executive Officer and Chairman of our Board are held by two different individuals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(Mr. Crockett and Dr. Edwards, respectively). This structure allows our Chief Executive Officer to focus on our day-to-day business while our Chairman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leads our Board in its fundamental role of providing advice to and independent oversight of the management. Our Board believes such separation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appropriate, as it enhances the accountability of the Chief Executive Officer to the Board and strengthens the independence of the Board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w:t>
      </w:r>
    </w:p>
    <w:p>
      <w:pPr>
        <w:spacing w:after="0" w:line="20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Board has concluded that our current leadership structure is appropriate at this time. However, our Board will continue to periodically review our leadership structure and may make such changes in the future as it deems appropriate.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overseeing our accounting and financial reporting processes,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including cybersecurity risks. Our nominating and corporate governance committee monitors the effectiveness of our corporate governance guidelines and reviews and reports to the audit committee on any related person transactions. Our compensation committee assesses and monitors whether any of our compensation policies and programs has the potential to encourage excessive risk-taking.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Securing the information of participants in our studies, medical professionals, team members, and other third parties is important to us.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our Board of Directors, our audit committee, and management.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252" w:lineRule="exact"/>
        <w:rPr>
          <w:sz w:val="20"/>
          <w:szCs w:val="20"/>
          <w:color w:val="auto"/>
        </w:rPr>
      </w:pPr>
    </w:p>
    <w:p>
      <w:pPr>
        <w:ind w:left="1080" w:right="320" w:hanging="424"/>
        <w:spacing w:after="0" w:line="273"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directly responsible for the appointment of a firm to serve as the independent registered public accounting firm to audit our financial statements;</w:t>
      </w:r>
    </w:p>
    <w:p>
      <w:pPr>
        <w:spacing w:after="0" w:line="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independence of the independent registered public accounting firm;</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3"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scope and discusses the results of the audit or review with the independent registered public accounting firm, and reviews with management our interim and year-end financial results;</w:t>
      </w:r>
    </w:p>
    <w:p>
      <w:pPr>
        <w:spacing w:after="0" w:line="1" w:lineRule="exact"/>
        <w:rPr>
          <w:rFonts w:ascii="Times New Roman" w:cs="Times New Roman" w:eastAsia="Times New Roman" w:hAnsi="Times New Roman"/>
          <w:sz w:val="18"/>
          <w:szCs w:val="18"/>
          <w:color w:val="auto"/>
        </w:rPr>
      </w:pPr>
    </w:p>
    <w:p>
      <w:pPr>
        <w:ind w:left="1080" w:right="300" w:hanging="424"/>
        <w:spacing w:after="0" w:line="273"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procedures for prompt internal meeting and review of complaints and submissions received under the Company’s compliance policies;</w:t>
      </w:r>
    </w:p>
    <w:p>
      <w:pPr>
        <w:spacing w:after="0" w:line="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the adequacy of our internal controls;</w:t>
      </w:r>
    </w:p>
    <w:p>
      <w:pPr>
        <w:spacing w:after="0" w:line="4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related party transactions; and</w:t>
      </w:r>
    </w:p>
    <w:p>
      <w:pPr>
        <w:spacing w:after="0" w:line="49"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fees or, as permitted, pre-approves policies and procedures for the engagement of the independent registered public accounting firm.</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current members of our audit committee are Brian J. G. Pereira, M.D., Edward W. Unkart and Nancy Stuart. Mr. Unkart serves as the Chair of the committee. All members of our audit committee meet the requirements for financial literacy under the applicable rules and regulations of the SEC and Nasdaq. Our Board has determined that Mr. Unkart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has determined that each of Dr. Pereira, Mr. Unkart and Ms. Stuart are independent under the applicable rules of Nasdaq and the SEC.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in the “Corporate Governance” section on the Company’s website at http://ir.kalvista.com/.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Our compensation committee reviews and recommends or approves policies relating to compensation and benefits of our officers and employees. The compensation committee reviews and approves the selection of our peer companies for compensation assessment purposes. The compensation committee reviews, and when necessary or appropriate, recommends to our Board corporate goals and objectives relevant to the compensation of our Chief Executive Officer and other executive officers, evaluates the performance of these officers in light of those goals and objectives and sets the compensation of these officers, based on such evaluations. The compensation committee may take account of recommendations by the Chief Executive Officer with respect to other executive officers’ compensation. The compensation committee approves, or may also recommend to our Board, the issuance of stock options and other awards under our equity plans. In addition, the compensation committee recommends to our Board the compensation of our non-employee directors. The compensation committee will review and evaluate, at least annually, the performance of the compensation committee and its members, including compliance by the compensation committee with its charter. The compensation committee is entitled to delegate any or all of its responsibilities to a subcommittee to the extent consistent with our amended and restated certificate of incorporation, amended and restated bylaws, Section 162(m) of the Internal Revenue Code of 1986, as amended, applicable laws, regulations and Nasdaq rules. The current members of our compensation committee are Albert Cha, M.D., Ph.D. and Martin Edwards, M.D. Dr. Cha serves as the Chair of the compensation committee. Each of the members of our compensation committee is independent under the applicable Nasdaq rules and regulations and is a “non-employee director” as defined in Rule 16b-3 promulgated under the Exchange Act and an “outside director” as that term is defined in Section 162(m) of the U.S. Internal Revenue Code of 1986, as amended.</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compensation committee has historically, including for fiscal 2022, retained Radford, part of Aon plc (“</w:t>
      </w:r>
      <w:r>
        <w:rPr>
          <w:rFonts w:ascii="Times New Roman" w:cs="Times New Roman" w:eastAsia="Times New Roman" w:hAnsi="Times New Roman"/>
          <w:sz w:val="18"/>
          <w:szCs w:val="18"/>
          <w:b w:val="1"/>
          <w:bCs w:val="1"/>
          <w:i w:val="1"/>
          <w:iCs w:val="1"/>
          <w:color w:val="auto"/>
        </w:rPr>
        <w:t>Radford</w:t>
      </w:r>
      <w:r>
        <w:rPr>
          <w:rFonts w:ascii="Times New Roman" w:cs="Times New Roman" w:eastAsia="Times New Roman" w:hAnsi="Times New Roman"/>
          <w:sz w:val="18"/>
          <w:szCs w:val="18"/>
          <w:color w:val="auto"/>
        </w:rPr>
        <w:t>”) a nationally recognized compensation consulting firm, to serve as its independent compensation consultant and to conduct market research and analysis on our various executive positions, to assist the committee in developing appropriate incentive plans for our executives on an annual basis, to provide the committee with advice and ongoing recommendations regarding material executive compensation decisions, and to review compensation proposals of management. Radford reports directly to the compensation committee and does not provide any non-compensation related services to the Company. In compliance with the disclosure requirements of the SEC regarding the independence of compensation consultants, Radford addressed each of the six independence factors established by the SEC with the compensation committee. Radford’s responses affirmed the independence of Radford on executive compensation matters. Based on this assessment, the compensation committee determined that the engagement of Radford does not raise any conflicts of interest or similar concerns. In addition, the compensation committee evaluated the independence of its other outside advisors to the compensation committee, including outside legal counsel, considering the same independence factors and concluded their work for the compensation committee does not raise any conflicts of interest.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The compensation committee operates under a written charter that satisfies the applicable standards of the SEC and Nasdaq. A copy of the compensation committee charter is available to security holders in the “Corporate Governance” section on the Company’s website at http://ir.kalvista.com/.</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and making recommendations to our Board concerning governance matters. The current members of our nominating and corporate governance committee are Martin Edwards, M.D., Brian J. G. Pereira and Nancy Stuart. Dr. Pereira is the Chair of the committee. Each of the members of our nominating and corporate governance committee is an independent director under the applicable rules and regulations of Nasdaq relating to nominating and corporate governance committee independence.</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will take into account many factors, including the following: diversity of personal and professional background, perspective and experience; personal and professional integrity, ethics and values; experience in corporate management, operations or finance, such as serving as a current or former officer or board member of a publicly held company, and a general understanding of marketing, finance and other elements relevant to the success of a publicly traded company in today’s business environment; experience in the industries in which we compete and with relevant social policy concerns; relevant academic expertise or other proficiency in an area of the Company’s operations; diversity of business and career experience relevant to the success of the Company; and practical and mature business judgment.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for nomination by stockholders during such times as the Board is seeking proposed nominees to stand for election at the next annual meeting of stockholders (or, if applicable, a special meeting of stockholders). For a stockholder to make any nomination for election to the Board at an annual meeting, the stockholder must provide notice to the Company, which notice must be delivered to the Secretary of the Company at the Company’s principal executive offices not earlier than close of business on the 120th day nor later than close of business on the 90th day prior to the one-year anniversary of the preceding year’s annual meeting; provided, that if the date of the annual meeting is more than 30 days before or after such anniversary date, the stockholder’s notice must be delivered on or before 10 days after the day on which the date of the annual meeting is first disclosed in a public announcement. In addition, should our Board determine to call a special meeting of stockholders for the purpose of electing one or more directors, a stockholder may nominate a person or persons (as the case may be) for election to such position(s) as specified in the applicable notice of meeting by delivering notice to the Secretary of the Company at the Company’s principal executive offices not earlier than close of business on the 120th day nor later than close of business on the 90th day prior to such special meeting, or the 10th day following the day on which public announcement is first made of the date of the special meeting and of the nominees proposed by the Board to be elected at such meeting.</w:t>
      </w:r>
    </w:p>
    <w:p>
      <w:pPr>
        <w:spacing w:after="0" w:line="19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more fully set forth in Section 1.2 of our bylaws, any such notice described in the foregoing paragraph must include, among other things, (i) with respect to each nominee for election as a director, (A) all information relating to such nominee that would be required to be disclosed in solicitations of proxies for the election of such nominee as a director pursuant to Regulation 14A under the Exchange Act and such nominee’s written consent to serve as a director if elected, and (B) certain information with respect to the relationship, if any, between such stockholder and the proposed nominee and any of their respective affiliates or associates; and (ii) with respect to the stockholder giving the notice, (A) such stockholder’s name and address, (B) certain information with respect to such stockholder’s beneficial ownership of the Company’s securities, (C) any other information relating to such stockholder that would be required to be disclosed in a proxy statement or other filing required in connection with solicitations of proxies for the election of directors in an election contest pursuant to Section 14(a) of the Exchange Act; and (D) certain representations and certifications. Further updates and supplements to such notice may be required from the proposed nominee and/or such stockholder, in each case, as set forth in our bylaws. We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recommend that any stockholder wishing to make a nomination for director review a copy of our bylaws, as amended and restated to date, which is available, without charge, from our Corporate Secretary, at 55 Cambridge Parkway, Suite 901E, Cambridge, Massachusetts 02142.</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operates under a written charter. A copy of the nominating and corporate governance committee charter is available to security holders in the “Corporate Governance” section on the Company’s website at </w:t>
      </w:r>
      <w:r>
        <w:rPr>
          <w:rFonts w:ascii="Times New Roman" w:cs="Times New Roman" w:eastAsia="Times New Roman" w:hAnsi="Times New Roman"/>
          <w:sz w:val="18"/>
          <w:szCs w:val="18"/>
          <w:u w:val="single" w:color="auto"/>
          <w:color w:val="auto"/>
        </w:rPr>
        <w:t>http://ir.kalvista.com/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Our Board is made up of seven directors with extensive experience leading and advising biotechnology and pharmaceutical companies. Our Board strives to ensure that our directors have backgrounds that both individually and collectively add significant value to our strategic decisions and enable them to provide oversight of management to ensure accountability to our shareholders. In addition, we have worked hard to strike the right balance between long-term understanding of our business and fresh external perspectives, as well as to ensure diversity within the boardroom.</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believe that a diversity of viewpoints, background, experience and other characteristics is important for a productive and engaged Board. While the Company does not have a formal policy on diversity, as part of its process to seek new Board talent, the nominating and corporate governance committee has actively recruited members who can provide such diversity in multiple dimensions.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121"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Each of the standing committees of our Board of Directors has diverse representation. In addition, our Board of Directors includes three directors who hold medical doctorates, one of whom also holds a doctorate in a scientific field. The table below provides certain highlights of the composition of our Board of Directors as disclosed by our directors as of the date of this Proxy Statement. Each of the categories listed in the table below has the meaning set forth in Nasdaq Rule 5605(f).</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Board Diversity Matrix</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7400" w:type="dxa"/>
            <w:vAlign w:val="bottom"/>
            <w:tcBorders>
              <w:top w:val="single" w:sz="8" w:color="auto"/>
            </w:tcBorders>
            <w:gridSpan w:val="2"/>
          </w:tcPr>
          <w:p>
            <w:pPr>
              <w:ind w:left="2660"/>
              <w:spacing w:after="0" w:line="155" w:lineRule="exact"/>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4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648"/>
              <w:spacing w:after="0" w:line="155" w:lineRule="exact"/>
              <w:rPr>
                <w:sz w:val="20"/>
                <w:szCs w:val="20"/>
                <w:color w:val="auto"/>
              </w:rPr>
            </w:pPr>
            <w:r>
              <w:rPr>
                <w:rFonts w:ascii="Times New Roman" w:cs="Times New Roman" w:eastAsia="Times New Roman" w:hAnsi="Times New Roman"/>
                <w:sz w:val="14"/>
                <w:szCs w:val="14"/>
                <w:b w:val="1"/>
                <w:bCs w:val="1"/>
                <w:color w:val="auto"/>
              </w:rPr>
              <w:t>7</w:t>
            </w:r>
          </w:p>
        </w:tc>
        <w:tc>
          <w:tcPr>
            <w:tcW w:w="5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9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Did Not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300" w:type="dxa"/>
            <w:vAlign w:val="bottom"/>
          </w:tcPr>
          <w:p>
            <w:pPr>
              <w:spacing w:after="0"/>
              <w:rPr>
                <w:sz w:val="12"/>
                <w:szCs w:val="12"/>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Non-Binary</w:t>
            </w: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Asian</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Anti-hedging</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that that applies to all of our employees, officers and directors, including our Chief Executive Officer and other executive officers, which prohibits such individuals from acquiring, selling, or trading in any interest or position relating to the future price of Company securities, such as a put option, a call option, or a short sale (including a short sale “against the box”).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Board and Committee Member Attendance and Annual Meeting Attendance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Board met five times during the last fiscal year and also acted by unanimous written consent. The audit committee met four times and also acted by unanimous written consent; the compensation committee met two times and also acted by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unanimous written consent; the nominating and corporate governance committee met one time and also acted by unanimous written consent. During the fiscal year ended April 30, 2022, none of the current directors attended fewer than 75% of the aggregate of the total number of meetings held by the Board during his or her tenure and the total number of meetings held by all committees of the Board on which such director served during his or her tenure. We encourage all of our directors and nominees for director to attend our annual meeting of stockholders; however, attendance is not mandatory. Seven members of our Board, who were serving on the Board at that time, attended the 2021 annual meeting of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Should stockholders wish to communicate with the Board or any specified individual directors, such correspondence should be sent to the attention of the Corporate Secretary, at 55 Cambridge Parkway, Suite 901E, Cambridge, Massachusetts 02142.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Corporate Secretary will forward the communication to the Board members.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During the fiscal year ended April 30, 2022, our compensation committee consisted of Dr. Cha and Dr. Edwards. 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or compensation committee.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our last two fiscal years, there have been no transactions and series of similar transactions to which we were a party or will be a party, in which:</w:t>
      </w:r>
    </w:p>
    <w:p>
      <w:pPr>
        <w:spacing w:after="0" w:line="131" w:lineRule="exact"/>
        <w:rPr>
          <w:sz w:val="20"/>
          <w:szCs w:val="20"/>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as of year-end for the last two completed fiscal years;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common stock, or an affiliate or immediate family member thereof,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these individuals and, in certain cases, affiliates of such individuals, to the fullest extent permitted by Delaware law against liabilities that may arise by reason of their service to us or at our direction, and to advance expenses incurred as a result of any proceeding against them as to which they could be indemnified. We also maintain an insurance policy that insures our directors and officers against certain liabilities, including liabilities arising under applicable securities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have adopted a written related person transaction approval policy that has governed the review of related person transactions since the closing of our initial public offering. Pursuant to this policy, if we want to enter into a transaction with a related person or an affiliate of a related person, our Chief Financial Officer will review the proposed transaction to determine, based on applicable Nasdaq and SEC rules, if such transaction qualifies as a related person transaction. If our Chief Financial Officer determines that the proposed transaction is a related person transaction, then the proposed transaction shall be submitted to the audit committee for pre-approval at the next regular or special audit committee meeting; if our Chief Financial Officer, in consultation with our Chief Executive Officer, determines that it is not practicable to wait until the next meeting of the audit committee, then our Chief Financial Officer may submit the proposed transaction to the Chairman of the audit committee. In the event that our Chief Executive Officer or Chief Financial Officer becomes aware of a related person transaction that has not been previously approved or previously ratified under our related person transaction approval policy, the transaction, if ongoing, will be promptly submitted to the audit committee or the Chairman of the audit committee for consideration. If the transaction is already completed, the audit committee or the Chairman of the audit committee shall evaluate the transaction to determine if rescission of the transaction and/or any disciplinary action is appropriate.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Board approves the form and amount of non-employee director compensation and our compensation committee reviews our non-employee director compensation and makes recommendations on the form and amount of non-employee director compensation. As part of its review, our compensation committee considered the information, analysis, and recommendations provided by Radford, its independent compensation consultant, including data regarding compensation paid to non-employee directors by companies in our peer group, as well as publicly available professional compensation surveys, proxy data, and the individual experiences of the committee members when it evaluates the appropriate level and form of compensation for non-employee directors.</w:t>
      </w:r>
    </w:p>
    <w:p>
      <w:pPr>
        <w:spacing w:after="0" w:line="18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pay our independent directors an annual retainer of $42,500, and additional annual cash compensation of $30,000 to the non-employee Chairman of the Board. In addition, each independent director who serves as the chairman of our audit committee, compensation committee or nominating and corporate governance committee will receive, for his or her service in such capacity, an additional annual retainer of $20,000, $15,000 or $10,000, respectively, and each other independent director who is a member of the audit committee, compensation committee or nominating and corporate governance committee receives an additional annual retainer of $10,000, $7,500 or $5,000, respectively. We reimburse each non-employee member of our board of directors for reasonable out-of-pocket expenses incurred in connection with attending our board and committee meetings.</w:t>
      </w:r>
    </w:p>
    <w:p>
      <w:pPr>
        <w:spacing w:after="0" w:line="187" w:lineRule="exact"/>
        <w:rPr>
          <w:sz w:val="20"/>
          <w:szCs w:val="20"/>
          <w:color w:val="auto"/>
        </w:rPr>
      </w:pPr>
    </w:p>
    <w:p>
      <w:pPr>
        <w:ind w:left="120" w:right="220"/>
        <w:spacing w:after="0" w:line="276" w:lineRule="auto"/>
        <w:rPr>
          <w:sz w:val="20"/>
          <w:szCs w:val="20"/>
          <w:color w:val="auto"/>
        </w:rPr>
      </w:pPr>
      <w:r>
        <w:rPr>
          <w:rFonts w:ascii="Times New Roman" w:cs="Times New Roman" w:eastAsia="Times New Roman" w:hAnsi="Times New Roman"/>
          <w:sz w:val="17"/>
          <w:szCs w:val="17"/>
          <w:color w:val="auto"/>
        </w:rPr>
        <w:t>In addition, our non-employee directors receive the following equity compensation: (i) each individual appointed as a non-employee director is automatically granted on the date of the appointment an option to purchase 17,000 shares of our common stock, vesting monthly over three years, and</w:t>
      </w:r>
    </w:p>
    <w:p>
      <w:pPr>
        <w:spacing w:after="0" w:line="1" w:lineRule="exact"/>
        <w:rPr>
          <w:sz w:val="20"/>
          <w:szCs w:val="20"/>
          <w:color w:val="auto"/>
        </w:rPr>
      </w:pPr>
    </w:p>
    <w:p>
      <w:pPr>
        <w:ind w:left="120" w:right="60" w:hanging="4"/>
        <w:spacing w:after="0" w:line="252"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from the first anniversary of the date when the director was appointed to the Board, on the date of each annual meeting of stockholders, each non-employee director who has been serving as a director for at least one year as of the date of such annual meeting and is continuing on the Board following such annual meeting of stockholders and will continue to serve on the Board following such meeting shall be automatically granted an option to purchase 10,000 shares of the Company’s common stock, vesting monthly over one year. Pursuant to our 2017 Equity Incentive Plan, the aggregate number of shares subject to awards granted to a non-employee director in any calendar year shall not exceed such number of shares with an aggregate grant date value of Seven Hundred Fifty Thousand Dollars ($750,000.00).</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 Director Compensation Table</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April 30, 2022 regarding the compensation awarded to, earned by or paid to our non-employee directors, other than Mr. Crockett, who is an employee and receives no compensation for his service as a director, and Mr. Treanor, who joined the Board in May 2022. The compensation received by Mr. Crockett as an employee is shown in the “</w:t>
      </w:r>
      <w:r>
        <w:rPr>
          <w:rFonts w:ascii="Times New Roman" w:cs="Times New Roman" w:eastAsia="Times New Roman" w:hAnsi="Times New Roman"/>
          <w:sz w:val="18"/>
          <w:szCs w:val="18"/>
          <w:i w:val="1"/>
          <w:iCs w:val="1"/>
          <w:color w:val="auto"/>
        </w:rPr>
        <w:t>Executive Compensation-Summary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 below.</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6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 Cha, M.D., Ph.D.</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137,758</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195,258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Martin Edwards, M.D.</w:t>
            </w:r>
            <w:r>
              <w:rPr>
                <w:rFonts w:ascii="Times New Roman" w:cs="Times New Roman" w:eastAsia="Times New Roman" w:hAnsi="Times New Roman"/>
                <w:sz w:val="26"/>
                <w:szCs w:val="26"/>
                <w:color w:val="auto"/>
                <w:vertAlign w:val="superscript"/>
              </w:rPr>
              <w:t>#</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$85,000</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137,758</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222,758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J. G. Pereira, M.D.</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$62,500</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137,758</w:t>
            </w:r>
          </w:p>
        </w:tc>
        <w:tc>
          <w:tcPr>
            <w:tcW w:w="9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200,258</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Daniel B. Soland*</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$42,500</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137,758</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180,258</w:t>
            </w: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W. Unkart</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$62,500</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137,758</w:t>
            </w:r>
          </w:p>
        </w:tc>
        <w:tc>
          <w:tcPr>
            <w:tcW w:w="9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200,258</w:t>
            </w:r>
          </w:p>
        </w:tc>
        <w:tc>
          <w:tcPr>
            <w:tcW w:w="0" w:type="dxa"/>
            <w:vAlign w:val="bottom"/>
          </w:tcPr>
          <w:p>
            <w:pPr>
              <w:spacing w:after="0"/>
              <w:rPr>
                <w:sz w:val="1"/>
                <w:szCs w:val="1"/>
                <w:color w:val="auto"/>
              </w:rPr>
            </w:pPr>
          </w:p>
        </w:tc>
      </w:tr>
      <w:tr>
        <w:trPr>
          <w:trHeight w:val="27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Nancy Stuart</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$52,500</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000" w:right="20" w:hanging="884"/>
        <w:spacing w:after="0" w:line="233" w:lineRule="auto"/>
        <w:tabs>
          <w:tab w:leader="none" w:pos="10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compensation amounts are converted from a total sum of $85,000 to £62,071 GBP actually received by Dr. Edwards using a weighted average exchange rate of 0.7303 GBP/USD.</w:t>
      </w:r>
    </w:p>
    <w:p>
      <w:pPr>
        <w:ind w:left="1000" w:hanging="884"/>
        <w:spacing w:after="0" w:line="222" w:lineRule="auto"/>
        <w:tabs>
          <w:tab w:leader="none" w:pos="1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Soland ceased to be a member of the Board on May 25, 2022.</w:t>
      </w:r>
    </w:p>
    <w:p>
      <w:pPr>
        <w:ind w:left="1000" w:right="100" w:hanging="884"/>
        <w:spacing w:after="0" w:line="239" w:lineRule="auto"/>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were the aggregate grant date fair values computed in accordance with FASB ASC Topic 718 and exclude the value of estimated forfeitures. The assumptions used in the valuation of these awards are set forth in Note 7 to our financial statements included in our Annual</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Report on Form 10-K for the year ended April 30, 2022. As of April 30, 2022, each of our non-employee directors held the following outstanding options awards: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 Subject to Outstanding Option</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Albert Cha, M.D., Ph.D.</w:t>
            </w:r>
          </w:p>
        </w:tc>
        <w:tc>
          <w:tcPr>
            <w:tcW w:w="4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Martin Edwards, M.D.</w:t>
            </w:r>
          </w:p>
        </w:tc>
        <w:tc>
          <w:tcPr>
            <w:tcW w:w="7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J. G. Pereira, M.D.</w:t>
            </w:r>
          </w:p>
        </w:tc>
        <w:tc>
          <w:tcPr>
            <w:tcW w:w="7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Daniel B. Soland</w:t>
            </w:r>
          </w:p>
        </w:tc>
        <w:tc>
          <w:tcPr>
            <w:tcW w:w="7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W. Unkart</w:t>
            </w:r>
          </w:p>
        </w:tc>
        <w:tc>
          <w:tcPr>
            <w:tcW w:w="7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Nancy Stuart</w:t>
            </w:r>
          </w:p>
        </w:tc>
        <w:tc>
          <w:tcPr>
            <w:tcW w:w="7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364"/>
        </w:trPr>
        <w:tc>
          <w:tcPr>
            <w:tcW w:w="3600" w:type="dxa"/>
            <w:vAlign w:val="bottom"/>
          </w:tcPr>
          <w:p>
            <w:pPr>
              <w:spacing w:after="0"/>
              <w:rPr>
                <w:sz w:val="24"/>
                <w:szCs w:val="24"/>
                <w:color w:val="auto"/>
              </w:rPr>
            </w:pPr>
          </w:p>
        </w:tc>
        <w:tc>
          <w:tcPr>
            <w:tcW w:w="472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biographical information for our current executive officers as of April 30,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 Andrew Crockett</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Business Officer and Chief Financial Officer</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P. Feener, Ph.D.</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6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K. Audhya</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 Yea, Ph.D.</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6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4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 Smith, Pharm.D.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Senior Vice President, Development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T. Andrew Crockett, M.B.A.</w:t>
      </w:r>
      <w:r>
        <w:rPr>
          <w:rFonts w:ascii="Times New Roman" w:cs="Times New Roman" w:eastAsia="Times New Roman" w:hAnsi="Times New Roman"/>
          <w:sz w:val="18"/>
          <w:szCs w:val="18"/>
          <w:color w:val="auto"/>
        </w:rPr>
        <w:t>, has served as a member of our Board and as our Chief Executive Officer since November 2016 and as a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our wholly owned subsidiary, KalVista Pharmaceuticals Limited, since its inception in 2011. From 2010 until November 2015, Mr. Crockett was the Chief Executive Officer of Vantia Ltd. He served on the board of directors of Vantia Ltd. from 2010 to 2021. Mr. Crockett has also held various senior management positions including Vice President of Business Development and Director of Clinical and Regulatory Affairs in biotech and specialty pharmaceutical companies in the United States and United Kingdom. Mr. Crockett received a B.A. from the University of Utah and an M.B.A. from The Wharton School, University of Pennsylvania, with a major in finance.</w:t>
      </w:r>
    </w:p>
    <w:p>
      <w:pPr>
        <w:spacing w:after="0" w:line="182" w:lineRule="exact"/>
        <w:rPr>
          <w:sz w:val="20"/>
          <w:szCs w:val="20"/>
          <w:color w:val="auto"/>
        </w:rPr>
      </w:pPr>
    </w:p>
    <w:p>
      <w:pPr>
        <w:ind w:left="120" w:right="1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Benjamin L. Palleiko </w:t>
      </w:r>
      <w:r>
        <w:rPr>
          <w:rFonts w:ascii="Times New Roman" w:cs="Times New Roman" w:eastAsia="Times New Roman" w:hAnsi="Times New Roman"/>
          <w:sz w:val="17"/>
          <w:szCs w:val="17"/>
          <w:color w:val="auto"/>
        </w:rPr>
        <w:t>joined as Chief Financial Officer in August 2016 and was appointed to the additional role of Chief Business Officer in March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2019. Prior to joining us, Mr. Palleiko was co-Founder and CEO of Cielo Therapeutics, Inc. from 2012 until June 2016. He previously was Senior Vice President and Chief Financial Officer of Ore Pharmaceutical Holdings Inc. and Penwest Pharmaceuticals Co. Earlier in his career Mr. Palleiko was an investment banker with the firms Robertson Stephens and SunTrust Bank. Mr. Palleiko holds a B.A. in Quantitative Economics from Tufts University and an M.B.A. in Finance and M.A. in International Relations from the University of Chicago. He served as a Naval Aviator in the U.S. Navy.</w:t>
      </w:r>
    </w:p>
    <w:p>
      <w:pPr>
        <w:spacing w:after="0" w:line="164"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Edward P. Feener, Ph.D.</w:t>
      </w:r>
      <w:r>
        <w:rPr>
          <w:rFonts w:ascii="Times New Roman" w:cs="Times New Roman" w:eastAsia="Times New Roman" w:hAnsi="Times New Roman"/>
          <w:sz w:val="18"/>
          <w:szCs w:val="18"/>
          <w:color w:val="auto"/>
        </w:rPr>
        <w:t>, is a scientific co-founder of KalVista and joined as our Chief Scientific Officer in November 2016. Previously, Dr. Feener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an Associate Professor of Medicine at Harvard Medical School and Senior Investigator in the Section on Vascular Cell Biology at Joslin Diabetes Center from July 1989 to October 2016. He has more than 27 years of research experience in vascular biology and diabetic complications. His laboratory identified novel mechanisms of action for the plasma kallikrein system, which are implicated in diabetic macular edema, vascular injury, and angioedema. Dr. Feener received his Ph.D. in Biochemistry from Boston University and completed postdoctoral training at the Joslin Diabetes Center and Harvard Medical School.</w:t>
      </w:r>
    </w:p>
    <w:p>
      <w:pPr>
        <w:spacing w:after="0" w:line="182" w:lineRule="exact"/>
        <w:rPr>
          <w:sz w:val="20"/>
          <w:szCs w:val="20"/>
          <w:color w:val="auto"/>
        </w:rPr>
      </w:pPr>
    </w:p>
    <w:p>
      <w:pPr>
        <w:ind w:left="120" w:right="240"/>
        <w:spacing w:after="0" w:line="257" w:lineRule="auto"/>
        <w:rPr>
          <w:sz w:val="20"/>
          <w:szCs w:val="20"/>
          <w:color w:val="auto"/>
        </w:rPr>
      </w:pPr>
      <w:r>
        <w:rPr>
          <w:rFonts w:ascii="Times New Roman" w:cs="Times New Roman" w:eastAsia="Times New Roman" w:hAnsi="Times New Roman"/>
          <w:sz w:val="18"/>
          <w:szCs w:val="18"/>
          <w:b w:val="1"/>
          <w:bCs w:val="1"/>
          <w:color w:val="auto"/>
        </w:rPr>
        <w:t>Paul K. Audhya, M.D., M.B.A.</w:t>
      </w:r>
      <w:r>
        <w:rPr>
          <w:rFonts w:ascii="Times New Roman" w:cs="Times New Roman" w:eastAsia="Times New Roman" w:hAnsi="Times New Roman"/>
          <w:sz w:val="18"/>
          <w:szCs w:val="18"/>
          <w:color w:val="auto"/>
        </w:rPr>
        <w:t>, has served as Chief Medical Officer since May 2021. Prior to joining us, Dr. Audhya was most recently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Global Medical Affairs at Arena Pharmaceuticals, Inc. from November 2018 to March 2021. Prior to that he was Vice President, Global Strategy and Phase 4, Global Medical Affairs at Vertex Pharmaceuticals from February 2016 to September 2018. From June 2013 to February 2016, Dr. Audhya was Vice President, Global Medical Affairs of Hospira, a Pfizer company. He previously held positions at Reata Pharmaceuticals, Abbott Laboratories, Amgen, Bristol Myers Squibb and Janssen. Dr. Audhya received a B.A. and M.D. from New York University and an M.B.A. from Pepperdine University.</w:t>
      </w:r>
    </w:p>
    <w:p>
      <w:pPr>
        <w:spacing w:after="0" w:line="182"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Christopher M. Yea, Ph.D.</w:t>
      </w:r>
      <w:r>
        <w:rPr>
          <w:rFonts w:ascii="Times New Roman" w:cs="Times New Roman" w:eastAsia="Times New Roman" w:hAnsi="Times New Roman"/>
          <w:sz w:val="18"/>
          <w:szCs w:val="18"/>
          <w:color w:val="auto"/>
        </w:rPr>
        <w:t>, has served as the Chief Development Officer since November 2015. Prior to joining us, he was the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Vantia, Ltd. from its spin-out from Ferring Pharmaceuticals in 2008, until November 2015. Prior to the spin-out of Vantia, Dr. Yea led the Biology group and was responsible for transition of candidates into development at Ferring Pharmaceuticals. Following post-doctoral work he spent several years at Roussel-UCLAF and Hoechst Marion Roussel. Dr. Yea holds a B.Sc. and a Ph.D. in Biochemistry from the University of Bristol, UK.</w:t>
      </w:r>
    </w:p>
    <w:p>
      <w:pPr>
        <w:spacing w:after="0" w:line="17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Michael D. Smith, Pharm.D. </w:t>
      </w:r>
      <w:r>
        <w:rPr>
          <w:rFonts w:ascii="Times New Roman" w:cs="Times New Roman" w:eastAsia="Times New Roman" w:hAnsi="Times New Roman"/>
          <w:sz w:val="18"/>
          <w:szCs w:val="18"/>
          <w:color w:val="auto"/>
        </w:rPr>
        <w:t>joined as our Vice President, Clinical Development in February 2016 and was promoted to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in May 2019. Prior to joining us, he was the Director, Scientific Affairs at PRA Health</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Sciences from July 2011 to February 2016. Prior to that, Dr. Smith worked as the Senior Manager, Clinical Development and Regulatory Affairs at ZARS Pharma. Dr. Smith also has served as an Adjunct Assistant Professor at the University of Utah since August 2014. Dr. Smith holds a B.Sc. from Brigham Young University and a Pharm.D. from the University of Utah.</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320" w:top="455" w:right="6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right="480"/>
        <w:spacing w:after="0" w:line="262"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As a “smaller reporting company” as defined in Item 10(f)(1) of Regulation S-K, we have elected to comply with the scaled disclosure requirements applicable to smaller reporting companies, and this executive compensation disclosure is not intended to meet the “Compensation Discussion and Analysis” disclosure required for larger reporting companies.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Pursuant to SEC regulations, our NEOs are our Chief Executive Officer, and the two other highest paid executives. Our NEOs for the fiscal year ended April 30, 2022 were as follows</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Andrew Crockett,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L. Palleiko, Chief Business Officer and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M. Yea, Ph.D., Chief Development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We are pleased with our progress during the year ended April 30, 2022 (fiscal year 2022), in which we continued to advance our portfolio of therapeutics for hereditary angioedema (HAE) to late stage development, as well as our novel, oral Factor XIIa program.</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key accomplishments for fiscal year 2022 include:</w:t>
      </w:r>
    </w:p>
    <w:p>
      <w:pPr>
        <w:spacing w:after="0" w:line="131" w:lineRule="exact"/>
        <w:rPr>
          <w:sz w:val="20"/>
          <w:szCs w:val="20"/>
          <w:color w:val="auto"/>
        </w:rPr>
      </w:pPr>
    </w:p>
    <w:p>
      <w:pPr>
        <w:ind w:left="1080" w:right="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Phase 3 KONFIDENT clinical trial for sebetralstat, formerly known as KVD900. This study is intended to evaluate the safety and efficacy of sebetralstat as the first potential oral on-demand therapy for HAE attacks. This study is expected to provide data in the second half of calendar 2023.</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Phase 2 KOMPLETE clinical trial for KVD824, our program in development as a potential HAE prophylaxis. This study is expected to provide data in mid-calendar 2023.</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advance our oral Factor XIIa program through preclinical development, with a goal of initiating the first clinical study for a drug candidate in calendar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Approach to Executive Compensation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compensation committee, which is solely comprised of independent members of our board of directors, is primarily responsible for setting the compensation of our named executive officers. Our compensation committee retains, and does not delegate, any of its responsibility to determine our executive officers’ compensation. In carrying out its responsibility to set executive officer compensation for fiscal year 2022, our compensation committee considered input from our Chief Executive Officer and the committee’s independent compensation consultant, Radford, an Aon company. In addition, our compensation committee acts on behalf of the board of directors to oversee the compensation policies and practices applicable to all our employees, including the administration of our equity plans.</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Each year, other than for fiscal 2021when we did not adjust executive compensation in response to the COVID pandemic,our compensation committee has engaged Radford to provide an analysis of executive pay, including both cash and equity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compensation. The compensation committee analyzes competitive market data on executive compensation levels and practices. This data is drawn from a select group of peer companies, as well as compensation survey data. Our compensation committee, with the assistance of Radford, develops the group of peer companies each year to be used as a reference for market positions and assessing competitive market compensation practices when making decisions for the next fiscal year compensation. Rather than applying a specific formula or targeting a specific percentile, the compensation committee references this market data to set a range of compensation as one input into its determination. Other factors the committee considers when setting all elements of compensation include achievement of corporate objectives, individual executive performance, and anticipated needs of the Company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awarded to and earned by our NEOs during the years ended April 30, 2020, 2021 and 2022, as applicable.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3"/>
                <w:szCs w:val="13"/>
                <w:color w:val="auto"/>
              </w:rPr>
            </w:pP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5"/>
                <w:szCs w:val="15"/>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 Andrew Crockett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$ 1,885,275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3,630,920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6,496,447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556,120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458,799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1,281,708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11,400</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2,308,027</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556,120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229,400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7"/>
                <w:szCs w:val="17"/>
                <w:color w:val="auto"/>
              </w:rPr>
              <w:t>1,163,160</w:t>
            </w:r>
            <w:r>
              <w:rPr>
                <w:rFonts w:ascii="Times New Roman" w:cs="Times New Roman" w:eastAsia="Times New Roman" w:hAnsi="Times New Roman"/>
                <w:sz w:val="25"/>
                <w:szCs w:val="25"/>
                <w:color w:val="auto"/>
                <w:vertAlign w:val="superscript"/>
              </w:rPr>
              <w:t>(4)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11,882</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1,960,562</w:t>
            </w:r>
          </w:p>
        </w:tc>
        <w:tc>
          <w:tcPr>
            <w:tcW w:w="0" w:type="dxa"/>
            <w:vAlign w:val="bottom"/>
          </w:tcPr>
          <w:p>
            <w:pPr>
              <w:spacing w:after="0"/>
              <w:rPr>
                <w:sz w:val="1"/>
                <w:szCs w:val="1"/>
                <w:color w:val="auto"/>
              </w:rPr>
            </w:pPr>
          </w:p>
        </w:tc>
      </w:tr>
      <w:tr>
        <w:trPr>
          <w:trHeight w:val="196"/>
        </w:trPr>
        <w:tc>
          <w:tcPr>
            <w:tcW w:w="26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Benjamin L. Palleiko</w:t>
            </w:r>
          </w:p>
        </w:tc>
        <w:tc>
          <w:tcPr>
            <w:tcW w:w="100" w:type="dxa"/>
            <w:vAlign w:val="bottom"/>
          </w:tcPr>
          <w:p>
            <w:pPr>
              <w:spacing w:after="0"/>
              <w:rPr>
                <w:sz w:val="17"/>
                <w:szCs w:val="17"/>
                <w:color w:val="auto"/>
              </w:rPr>
            </w:pPr>
          </w:p>
        </w:tc>
        <w:tc>
          <w:tcPr>
            <w:tcW w:w="5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2022</w:t>
            </w:r>
          </w:p>
        </w:tc>
        <w:tc>
          <w:tcPr>
            <w:tcW w:w="360" w:type="dxa"/>
            <w:vAlign w:val="bottom"/>
            <w:gridSpan w:val="2"/>
          </w:tcPr>
          <w:p>
            <w:pPr>
              <w:jc w:val="right"/>
              <w:ind w:right="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490,000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220,500</w:t>
            </w:r>
          </w:p>
        </w:tc>
        <w:tc>
          <w:tcPr>
            <w:tcW w:w="1000" w:type="dxa"/>
            <w:vAlign w:val="bottom"/>
            <w:gridSpan w:val="4"/>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$ 1,346,625</w:t>
            </w:r>
          </w:p>
        </w:tc>
        <w:tc>
          <w:tcPr>
            <w:tcW w:w="1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1,361,595</w:t>
            </w:r>
          </w:p>
        </w:tc>
        <w:tc>
          <w:tcPr>
            <w:tcW w:w="2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12,333</w:t>
            </w:r>
          </w:p>
        </w:tc>
        <w:tc>
          <w:tcPr>
            <w:tcW w:w="300" w:type="dxa"/>
            <w:vAlign w:val="bottom"/>
            <w:gridSpan w:val="2"/>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3,431,053</w:t>
            </w:r>
          </w:p>
        </w:tc>
        <w:tc>
          <w:tcPr>
            <w:tcW w:w="0" w:type="dxa"/>
            <w:vAlign w:val="bottom"/>
          </w:tcPr>
          <w:p>
            <w:pPr>
              <w:spacing w:after="0"/>
              <w:rPr>
                <w:sz w:val="1"/>
                <w:szCs w:val="1"/>
                <w:color w:val="auto"/>
              </w:rPr>
            </w:pP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Business Officer and Chief</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747,663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15,850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1,459,513</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156,600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line="235" w:lineRule="exact"/>
              <w:rPr>
                <w:sz w:val="20"/>
                <w:szCs w:val="20"/>
                <w:color w:val="auto"/>
              </w:rPr>
            </w:pPr>
            <w:r>
              <w:rPr>
                <w:rFonts w:ascii="Times New Roman" w:cs="Times New Roman" w:eastAsia="Times New Roman" w:hAnsi="Times New Roman"/>
                <w:sz w:val="18"/>
                <w:szCs w:val="18"/>
                <w:color w:val="auto"/>
              </w:rPr>
              <w:t>581,580</w:t>
            </w:r>
            <w:r>
              <w:rPr>
                <w:rFonts w:ascii="Times New Roman" w:cs="Times New Roman" w:eastAsia="Times New Roman" w:hAnsi="Times New Roman"/>
                <w:sz w:val="26"/>
                <w:szCs w:val="26"/>
                <w:color w:val="auto"/>
                <w:vertAlign w:val="superscript"/>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11,900</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1,185,080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M. Yea</w:t>
            </w:r>
          </w:p>
        </w:tc>
        <w:tc>
          <w:tcPr>
            <w:tcW w:w="6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923,400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1,089,276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27,279</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2,676,955</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712,060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25,341</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1,409,401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7"/>
                <w:szCs w:val="17"/>
                <w:color w:val="auto"/>
              </w:rPr>
              <w:t>480,773</w:t>
            </w:r>
            <w:r>
              <w:rPr>
                <w:rFonts w:ascii="Times New Roman" w:cs="Times New Roman" w:eastAsia="Times New Roman" w:hAnsi="Times New Roman"/>
                <w:sz w:val="25"/>
                <w:szCs w:val="25"/>
                <w:color w:val="auto"/>
                <w:vertAlign w:val="superscript"/>
              </w:rPr>
              <w:t>(6)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25,271</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1,094,044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000" w:right="140" w:hanging="884"/>
        <w:spacing w:after="0" w:line="233" w:lineRule="auto"/>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the Bonus column represents the annual cash discretionary bonuses earned by our NEOs pursuant to the achievement of certain Company and individual performance objectives. Please see “-</w:t>
      </w:r>
      <w:r>
        <w:rPr>
          <w:rFonts w:ascii="Times New Roman" w:cs="Times New Roman" w:eastAsia="Times New Roman" w:hAnsi="Times New Roman"/>
          <w:sz w:val="14"/>
          <w:szCs w:val="14"/>
          <w:i w:val="1"/>
          <w:iCs w:val="1"/>
          <w:color w:val="auto"/>
        </w:rPr>
        <w:t>Annual Performance-Based Cash Incentives</w:t>
      </w:r>
      <w:r>
        <w:rPr>
          <w:rFonts w:ascii="Times New Roman" w:cs="Times New Roman" w:eastAsia="Times New Roman" w:hAnsi="Times New Roman"/>
          <w:sz w:val="14"/>
          <w:szCs w:val="14"/>
          <w:color w:val="auto"/>
        </w:rPr>
        <w:t>” below for additional information regarding the fiscal year 2022 bonus amounts.</w:t>
      </w:r>
    </w:p>
    <w:p>
      <w:pPr>
        <w:ind w:left="1000" w:right="40" w:hanging="884"/>
        <w:spacing w:after="0" w:line="221" w:lineRule="auto"/>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and Option Awards columns represent the grant date fair value of performance stock options (“PSOs”) and time-based stock options granted to our NEOs during fiscal years 2022, 2021 and 2021, as applicable, as computed in accordance with ASC 718. The assumptions used in the valuation of these awards are set forth in Note 8 to our consolidated financial statements included in our annual report on Form 10-K for the year ended April 30, 2022. The amounts reported in this column exclude the impact of estimated forfeitures related to service-based vesting conditions. Note that the amounts reported in this column reflect the accounting cost for these PSUs and stock options, and do not correspond to the actual economic value that may be received by the NEOs from the PSUs and stock options. The amounts in the Stock Awards column assumes that the required performance goals will be achieved for the maximum possible payout of the PSUs.</w:t>
      </w:r>
    </w:p>
    <w:p>
      <w:pPr>
        <w:spacing w:after="0" w:line="1" w:lineRule="exact"/>
        <w:rPr>
          <w:rFonts w:ascii="Times New Roman" w:cs="Times New Roman" w:eastAsia="Times New Roman" w:hAnsi="Times New Roman"/>
          <w:sz w:val="14"/>
          <w:szCs w:val="14"/>
          <w:color w:val="auto"/>
        </w:rPr>
      </w:pPr>
    </w:p>
    <w:p>
      <w:pPr>
        <w:ind w:left="1000" w:hanging="884"/>
        <w:spacing w:after="0" w:line="221" w:lineRule="auto"/>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Compensation” consists of Company contributions to the 401(k) Plan or local retirement plan for Dr. Yea.</w:t>
      </w:r>
    </w:p>
    <w:p>
      <w:pPr>
        <w:ind w:left="1000" w:right="40" w:hanging="884"/>
        <w:spacing w:after="0" w:line="221" w:lineRule="auto"/>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assumes that the PSOs granted to Mr. Crockett in fiscal year 2020 were not probable of being achieved as of the grant date (as determined under ASC 718), and does not include the grant date fair value of those PSOs. As noted in note (2) above, the amounts reported in this column reflect the accounting cost for these PSOs, and do not correspond to the actual economic value that may be received by the NEO from the PSOs. Assuming that the highest level of performance of such PSOs is achieved, the grant date fair value of these PSOs would be $1,421,640 and the total value of all option awards granted to Mr. Crockett in fiscal year 2020 would increase to $2,584,800. Additional detail about these PSOs is included in the “Outstanding Equity Awards at 2022 Fiscal Year-End Table” below.</w:t>
      </w:r>
    </w:p>
    <w:p>
      <w:pPr>
        <w:spacing w:after="0" w:line="1" w:lineRule="exact"/>
        <w:rPr>
          <w:rFonts w:ascii="Times New Roman" w:cs="Times New Roman" w:eastAsia="Times New Roman" w:hAnsi="Times New Roman"/>
          <w:sz w:val="14"/>
          <w:szCs w:val="14"/>
          <w:color w:val="auto"/>
        </w:rPr>
      </w:pPr>
    </w:p>
    <w:p>
      <w:pPr>
        <w:ind w:left="1000" w:right="80" w:hanging="884"/>
        <w:spacing w:after="0" w:line="228" w:lineRule="auto"/>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assumes that the PSOs granted to Mr. Palleiko in fiscal year 2020 were not probable of being achieved as of the grant date (as determined under ASC 718), and does not include the grant date fair value of those PSOs. As noted in note (2) above, the amounts reported in this column reflect the accounting cost for these PSOs, and do not correspond to the actual economic value that may be received by the NEO from the PSOs. Assuming that the highest level of performance of such PSOs is achieved, the grant date fair value of these PSOs would be $710,820 and the total value of all option awards granted to Mr. Palleiko in fiscal year 2020 would increase to $1,292,400. Additional detail about these PSOs is included in the “Outstanding Equity Awards at 2022 Fiscal Year-End Table” below.</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00" w:right="80" w:hanging="884"/>
        <w:spacing w:after="0" w:line="233" w:lineRule="auto"/>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assumes that the PSOs granted to Dr. Yea in fiscal year 2020 were not probable of being achieved as of the grant date (as determined under ASC 718), and does not include the grant date fair value of those PSOs. As noted in note (2) above, the amounts reported in this column reflect the accounting cost for these PSOs, and do not correspond to the actual economic value that may be received by the NEO from the PSOs. Assuming that the highest level of performance of such PSOs is achieved, the grant date fair value of these PSOs would be $587,611 and the total value of all option awards granted to Dr. Yea in fiscal year 2020 would increase to $1,068,384. Additional detail about these PSOs is included in the “Outstanding Equity Awards at 2022 Fiscal Year-End Table” below.</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Salary</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Base salaries serve to provide fixed cash compensation to our executive officers for performing their ongoing responsibilities. Base salaries for our executive officers are approved upon joining us by the compensation committee, and then reviewed and adjusted, as appropriate, by the compensation committee on an annual basis and based on consideration of the factors discussed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Incentives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is eligible to receive an annual discretionary cash bonus. The target annual bonus opportunity of each of the named executive officers is equal to a percentage of his base salary. The performance objectives for our executive officers do not have specific financial or corporate targets associated with them, and our compensation committee has discretion to determine the bonus amounts for each fiscal year based on its assessment of company and individual performance. This discretionary approach allows for flexibility and innovation in the rapidly evolving market, which aligns with the key elements of our compensation philosophy.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11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 significant portion of executive pay is delivered as long-term incentives, or equity awards, which are designed to align executive officers’ interests with stockholder interests, promote retention through the reward of long-term company performance, incentivize high performance and encourage ownership in our company. Each of our named executive officers currently holds outstanding equity awards, as set forth in the “—</w:t>
      </w:r>
      <w:r>
        <w:rPr>
          <w:rFonts w:ascii="Times New Roman" w:cs="Times New Roman" w:eastAsia="Times New Roman" w:hAnsi="Times New Roman"/>
          <w:sz w:val="18"/>
          <w:szCs w:val="18"/>
          <w:b w:val="1"/>
          <w:bCs w:val="1"/>
          <w:i w:val="1"/>
          <w:iCs w:val="1"/>
          <w:color w:val="auto"/>
        </w:rPr>
        <w:t>Outstanding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Awards at 2022 Fiscal Year-End</w:t>
      </w:r>
      <w:r>
        <w:rPr>
          <w:rFonts w:ascii="Times New Roman" w:cs="Times New Roman" w:eastAsia="Times New Roman" w:hAnsi="Times New Roman"/>
          <w:sz w:val="18"/>
          <w:szCs w:val="18"/>
          <w:color w:val="auto"/>
        </w:rPr>
        <w:t>” table below.</w:t>
      </w:r>
    </w:p>
    <w:p>
      <w:pPr>
        <w:spacing w:after="0" w:line="176"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color w:val="auto"/>
        </w:rPr>
        <w:t>We have historically used equity awards in the form of stock options, vesting over time, performance-based stock options (“</w:t>
      </w:r>
      <w:r>
        <w:rPr>
          <w:rFonts w:ascii="Times New Roman" w:cs="Times New Roman" w:eastAsia="Times New Roman" w:hAnsi="Times New Roman"/>
          <w:sz w:val="18"/>
          <w:szCs w:val="18"/>
          <w:b w:val="1"/>
          <w:bCs w:val="1"/>
          <w:i w:val="1"/>
          <w:iCs w:val="1"/>
          <w:color w:val="auto"/>
        </w:rPr>
        <w:t>PSOs</w:t>
      </w:r>
      <w:r>
        <w:rPr>
          <w:rFonts w:ascii="Times New Roman" w:cs="Times New Roman" w:eastAsia="Times New Roman" w:hAnsi="Times New Roman"/>
          <w:sz w:val="18"/>
          <w:szCs w:val="18"/>
          <w:color w:val="auto"/>
        </w:rPr>
        <w:t>”) and performance-based restricted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with the vesting of the PSOs and PSUs subject to both a time-based requirement and a performance achievement requirement, to further incentivize our executives to drive long-term growth and promote alignment of our stockholders’ interests with the financial interests of our executives. Our PSOs and PSUs are subject to the achievement of various corporate goals, including certain product and research and development metrics.</w:t>
      </w:r>
    </w:p>
    <w:p>
      <w:pPr>
        <w:spacing w:after="0" w:line="1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December 2020, the compensation committee determined and certified that certain performance metrics applicable to the 2020 PSOs, were satisfied on December 8, 2020 in connection with the last patient visit of the ongoing Phase 2 clinical trial for KVD900.</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February 2021, the compensation committee determined and certified that certain performance metrics applicable to the 2019 PSOs and 2020 PSOs, were satisfied on February 6, 2021 in connection with the Company’s completion of a successful Phase 2 clinical trial for KVD900, as further evidenced by the Company’s decision to progress development of the KVD900 program beyond the Phase 2 clinical trial. The compensation committee also determined and certified that the performance metrics applicable to the 2018 PSUs were satisfied on February 6, 2021 in connection with the Company’s successful completion of a first proof of concept clinical trial for a HAE drug candidate.</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determines the size of equity grants by considering the executive officer’s position and market data of our peer group companies as provided by Radford. The compensation committee has the discretion to give relative weight to each of these factors as it sets the size of the equity grant to appropriately create an opportunity for reward based on increasing stockholder value.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 Table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specified information concerning outstanding equity awards for each of the NEOs as of April 30,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540" w:type="dxa"/>
            <w:vAlign w:val="bottom"/>
            <w:tcBorders>
              <w:top w:val="single" w:sz="8" w:color="auto"/>
            </w:tcBorders>
            <w:gridSpan w:val="5"/>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128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5"/>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2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8"/>
        </w:trPr>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Exercisable (#)</w:t>
            </w:r>
            <w:r>
              <w:rPr>
                <w:rFonts w:ascii="Times New Roman" w:cs="Times New Roman" w:eastAsia="Times New Roman" w:hAnsi="Times New Roman"/>
                <w:sz w:val="10"/>
                <w:szCs w:val="10"/>
                <w:b w:val="1"/>
                <w:bCs w:val="1"/>
                <w:color w:val="auto"/>
              </w:rPr>
              <w:t>(2)</w:t>
            </w:r>
          </w:p>
        </w:tc>
        <w:tc>
          <w:tcPr>
            <w:tcW w:w="20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1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10"/>
        </w:trPr>
        <w:tc>
          <w:tcPr>
            <w:tcW w:w="19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T. Andrew Crockett</w:t>
            </w:r>
          </w:p>
        </w:tc>
        <w:tc>
          <w:tcPr>
            <w:tcW w:w="2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gridSpan w:val="2"/>
            <w:shd w:val="clear" w:color="auto" w:fill="CCEEFF"/>
          </w:tcPr>
          <w:p>
            <w:pPr>
              <w:ind w:left="380"/>
              <w:spacing w:after="0" w:line="110" w:lineRule="exact"/>
              <w:rPr>
                <w:sz w:val="20"/>
                <w:szCs w:val="20"/>
                <w:color w:val="auto"/>
              </w:rPr>
            </w:pPr>
            <w:r>
              <w:rPr>
                <w:rFonts w:ascii="Times New Roman" w:cs="Times New Roman" w:eastAsia="Times New Roman" w:hAnsi="Times New Roman"/>
                <w:sz w:val="12"/>
                <w:szCs w:val="12"/>
                <w:color w:val="auto"/>
                <w:w w:val="98"/>
              </w:rPr>
              <w:t>5/25/2017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2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187,000</w:t>
            </w: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7.07</w:t>
            </w:r>
          </w:p>
        </w:tc>
        <w:tc>
          <w:tcPr>
            <w:tcW w:w="2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5/24/2027</w:t>
            </w:r>
          </w:p>
        </w:tc>
        <w:tc>
          <w:tcPr>
            <w:tcW w:w="2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13"/>
              <w:spacing w:after="0" w:line="135" w:lineRule="exact"/>
              <w:rPr>
                <w:sz w:val="20"/>
                <w:szCs w:val="20"/>
                <w:color w:val="auto"/>
              </w:rPr>
            </w:pPr>
            <w:r>
              <w:rPr>
                <w:rFonts w:ascii="Times New Roman" w:cs="Times New Roman" w:eastAsia="Times New Roman" w:hAnsi="Times New Roman"/>
                <w:sz w:val="13"/>
                <w:szCs w:val="13"/>
                <w:color w:val="auto"/>
              </w:rPr>
              <w:t>6/4/2018</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125,350</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5,450</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8.21</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6/3/2028</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9/18/2018</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134,375</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15,625</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16.08</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9/17/2028</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5/15/2019</w:t>
            </w:r>
          </w:p>
        </w:tc>
        <w:tc>
          <w:tcPr>
            <w:tcW w:w="1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49,218</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18,282</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24.23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5/14/2029</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5/15/2019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29,166</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45,834</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75,000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24.23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6/14/2019</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6/16/2020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2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46,666</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93,334</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140,000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10.20</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6/15/2030</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6/16/2020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15,555</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24,445</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40,000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10.20</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6/16/2030</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5/26/2021</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45,833</w:t>
            </w:r>
          </w:p>
        </w:tc>
        <w:tc>
          <w:tcPr>
            <w:tcW w:w="4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154,167</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25.95</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5/25/2031</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0"/>
              </w:rPr>
              <w:t>3/11/2022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122,500</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1,885,275</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Benjamin L. Palleiko</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w w:val="91"/>
              </w:rPr>
              <w:t>11/22/2016</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47,354</w:t>
            </w:r>
          </w:p>
        </w:tc>
        <w:tc>
          <w:tcPr>
            <w:tcW w:w="40" w:type="dxa"/>
            <w:vAlign w:val="bottom"/>
          </w:tcPr>
          <w:p>
            <w:pPr>
              <w:spacing w:after="0"/>
              <w:rPr>
                <w:sz w:val="11"/>
                <w:szCs w:val="11"/>
                <w:color w:val="auto"/>
              </w:rPr>
            </w:pP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8.39</w:t>
            </w: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11/21/2026</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80" w:type="dxa"/>
            <w:vAlign w:val="bottom"/>
            <w:shd w:val="clear" w:color="auto" w:fill="CCEEFF"/>
          </w:tcPr>
          <w:p>
            <w:pPr>
              <w:spacing w:after="0"/>
              <w:rPr>
                <w:sz w:val="10"/>
                <w:szCs w:val="10"/>
                <w:color w:val="auto"/>
              </w:rPr>
            </w:pPr>
          </w:p>
        </w:tc>
        <w:tc>
          <w:tcPr>
            <w:tcW w:w="1260" w:type="dxa"/>
            <w:vAlign w:val="bottom"/>
            <w:gridSpan w:val="4"/>
            <w:shd w:val="clear" w:color="auto" w:fill="CCEEFF"/>
          </w:tcPr>
          <w:p>
            <w:pPr>
              <w:jc w:val="right"/>
              <w:spacing w:after="0" w:line="117" w:lineRule="exact"/>
              <w:rPr>
                <w:sz w:val="20"/>
                <w:szCs w:val="20"/>
                <w:color w:val="auto"/>
              </w:rPr>
            </w:pPr>
            <w:r>
              <w:rPr>
                <w:rFonts w:ascii="Times New Roman" w:cs="Times New Roman" w:eastAsia="Times New Roman" w:hAnsi="Times New Roman"/>
                <w:sz w:val="10"/>
                <w:szCs w:val="10"/>
                <w:color w:val="auto"/>
              </w:rPr>
              <w:t>12/29/2016</w:t>
            </w:r>
            <w:r>
              <w:rPr>
                <w:rFonts w:ascii="Times New Roman" w:cs="Times New Roman" w:eastAsia="Times New Roman" w:hAnsi="Times New Roman"/>
                <w:sz w:val="13"/>
                <w:szCs w:val="13"/>
                <w:color w:val="auto"/>
                <w:vertAlign w:val="superscript"/>
              </w:rPr>
              <w:t>(3)</w:t>
            </w:r>
          </w:p>
        </w:tc>
        <w:tc>
          <w:tcPr>
            <w:tcW w:w="1300" w:type="dxa"/>
            <w:vAlign w:val="bottom"/>
            <w:gridSpan w:val="4"/>
            <w:shd w:val="clear" w:color="auto" w:fill="CCEEFF"/>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29,611</w:t>
            </w:r>
          </w:p>
        </w:tc>
        <w:tc>
          <w:tcPr>
            <w:tcW w:w="1540" w:type="dxa"/>
            <w:vAlign w:val="bottom"/>
            <w:gridSpan w:val="3"/>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3"/>
                <w:szCs w:val="13"/>
                <w:color w:val="auto"/>
              </w:rPr>
              <w:t>6.74</w:t>
            </w:r>
          </w:p>
        </w:tc>
        <w:tc>
          <w:tcPr>
            <w:tcW w:w="92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3"/>
                <w:szCs w:val="13"/>
                <w:color w:val="auto"/>
              </w:rPr>
              <w:t>12/28/2026</w:t>
            </w: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ind w:left="380"/>
              <w:spacing w:after="0" w:line="135" w:lineRule="exact"/>
              <w:rPr>
                <w:sz w:val="20"/>
                <w:szCs w:val="20"/>
                <w:color w:val="auto"/>
              </w:rPr>
            </w:pPr>
            <w:r>
              <w:rPr>
                <w:rFonts w:ascii="Times New Roman" w:cs="Times New Roman" w:eastAsia="Times New Roman" w:hAnsi="Times New Roman"/>
                <w:sz w:val="11"/>
                <w:szCs w:val="11"/>
                <w:color w:val="auto"/>
              </w:rPr>
              <w:t>5/25/2017</w:t>
            </w:r>
            <w:r>
              <w:rPr>
                <w:rFonts w:ascii="Times New Roman" w:cs="Times New Roman" w:eastAsia="Times New Roman" w:hAnsi="Times New Roman"/>
                <w:sz w:val="15"/>
                <w:szCs w:val="15"/>
                <w:color w:val="auto"/>
                <w:vertAlign w:val="superscript"/>
              </w:rPr>
              <w:t>(3)</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33,800</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7.07</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5/24/2027</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13"/>
              <w:spacing w:after="0" w:line="135" w:lineRule="exact"/>
              <w:rPr>
                <w:sz w:val="20"/>
                <w:szCs w:val="20"/>
                <w:color w:val="auto"/>
              </w:rPr>
            </w:pPr>
            <w:r>
              <w:rPr>
                <w:rFonts w:ascii="Times New Roman" w:cs="Times New Roman" w:eastAsia="Times New Roman" w:hAnsi="Times New Roman"/>
                <w:sz w:val="13"/>
                <w:szCs w:val="13"/>
                <w:color w:val="auto"/>
              </w:rPr>
              <w:t>6/4/2018</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68,712</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2,988</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8.21</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6/3/2028</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9/18/2018</w:t>
            </w:r>
          </w:p>
        </w:tc>
        <w:tc>
          <w:tcPr>
            <w:tcW w:w="1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47,120</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5,480</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16.08</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9/17/2028</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5/15/2019</w:t>
            </w:r>
          </w:p>
        </w:tc>
        <w:tc>
          <w:tcPr>
            <w:tcW w:w="1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24,609</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9,141</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24.23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5/14/2029</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5/15/2019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2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14,583</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22,917</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37,500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24.23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6/14/2019</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6/16/2020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28,333</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56,667</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85,000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10.20</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6/15/2030</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6/16/2020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7,777</w:t>
            </w:r>
          </w:p>
        </w:tc>
        <w:tc>
          <w:tcPr>
            <w:tcW w:w="4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12,223</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10.20</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6/16/2030</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5/26/2021</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17,187</w:t>
            </w:r>
          </w:p>
        </w:tc>
        <w:tc>
          <w:tcPr>
            <w:tcW w:w="4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57,813</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25.95</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5/25/2031</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0"/>
              </w:rPr>
              <w:t>3/11/2022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87,500</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1,346,625</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Christopher M. Yea</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3/31/2016</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87,390</w:t>
            </w:r>
          </w:p>
        </w:tc>
        <w:tc>
          <w:tcPr>
            <w:tcW w:w="40" w:type="dxa"/>
            <w:vAlign w:val="bottom"/>
          </w:tcPr>
          <w:p>
            <w:pPr>
              <w:spacing w:after="0"/>
              <w:rPr>
                <w:sz w:val="11"/>
                <w:szCs w:val="11"/>
                <w:color w:val="auto"/>
              </w:rPr>
            </w:pPr>
          </w:p>
        </w:tc>
        <w:tc>
          <w:tcPr>
            <w:tcW w:w="15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0.0043</w:t>
            </w: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3/30/2026</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980" w:type="dxa"/>
            <w:vAlign w:val="bottom"/>
            <w:shd w:val="clear" w:color="auto" w:fill="CCEEFF"/>
          </w:tcPr>
          <w:p>
            <w:pPr>
              <w:spacing w:after="0"/>
              <w:rPr>
                <w:sz w:val="10"/>
                <w:szCs w:val="10"/>
                <w:color w:val="auto"/>
              </w:rPr>
            </w:pPr>
          </w:p>
        </w:tc>
        <w:tc>
          <w:tcPr>
            <w:tcW w:w="1260" w:type="dxa"/>
            <w:vAlign w:val="bottom"/>
            <w:gridSpan w:val="4"/>
            <w:shd w:val="clear" w:color="auto" w:fill="CCEEFF"/>
          </w:tcPr>
          <w:p>
            <w:pPr>
              <w:ind w:left="600"/>
              <w:spacing w:after="0" w:line="117" w:lineRule="exact"/>
              <w:rPr>
                <w:sz w:val="20"/>
                <w:szCs w:val="20"/>
                <w:color w:val="auto"/>
              </w:rPr>
            </w:pPr>
            <w:r>
              <w:rPr>
                <w:rFonts w:ascii="Times New Roman" w:cs="Times New Roman" w:eastAsia="Times New Roman" w:hAnsi="Times New Roman"/>
                <w:sz w:val="10"/>
                <w:szCs w:val="10"/>
                <w:color w:val="auto"/>
              </w:rPr>
              <w:t>5/25/2017</w:t>
            </w:r>
            <w:r>
              <w:rPr>
                <w:rFonts w:ascii="Times New Roman" w:cs="Times New Roman" w:eastAsia="Times New Roman" w:hAnsi="Times New Roman"/>
                <w:sz w:val="13"/>
                <w:szCs w:val="13"/>
                <w:color w:val="auto"/>
                <w:vertAlign w:val="superscript"/>
              </w:rPr>
              <w:t>(3)</w:t>
            </w:r>
          </w:p>
        </w:tc>
        <w:tc>
          <w:tcPr>
            <w:tcW w:w="1300" w:type="dxa"/>
            <w:vAlign w:val="bottom"/>
            <w:gridSpan w:val="4"/>
            <w:shd w:val="clear" w:color="auto" w:fill="CCEEFF"/>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33,800</w:t>
            </w:r>
          </w:p>
        </w:tc>
        <w:tc>
          <w:tcPr>
            <w:tcW w:w="1540" w:type="dxa"/>
            <w:vAlign w:val="bottom"/>
            <w:gridSpan w:val="3"/>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17" w:lineRule="exact"/>
              <w:rPr>
                <w:sz w:val="20"/>
                <w:szCs w:val="20"/>
                <w:color w:val="auto"/>
              </w:rPr>
            </w:pPr>
            <w:r>
              <w:rPr>
                <w:rFonts w:ascii="Times New Roman" w:cs="Times New Roman" w:eastAsia="Times New Roman" w:hAnsi="Times New Roman"/>
                <w:sz w:val="13"/>
                <w:szCs w:val="13"/>
                <w:color w:val="auto"/>
              </w:rPr>
              <w:t>7.07</w:t>
            </w:r>
          </w:p>
        </w:tc>
        <w:tc>
          <w:tcPr>
            <w:tcW w:w="920" w:type="dxa"/>
            <w:vAlign w:val="bottom"/>
            <w:gridSpan w:val="2"/>
            <w:shd w:val="clear" w:color="auto" w:fill="CCEEFF"/>
          </w:tcPr>
          <w:p>
            <w:pPr>
              <w:jc w:val="right"/>
              <w:ind w:right="240"/>
              <w:spacing w:after="0" w:line="117" w:lineRule="exact"/>
              <w:rPr>
                <w:sz w:val="20"/>
                <w:szCs w:val="20"/>
                <w:color w:val="auto"/>
              </w:rPr>
            </w:pPr>
            <w:r>
              <w:rPr>
                <w:rFonts w:ascii="Times New Roman" w:cs="Times New Roman" w:eastAsia="Times New Roman" w:hAnsi="Times New Roman"/>
                <w:sz w:val="13"/>
                <w:szCs w:val="13"/>
                <w:color w:val="auto"/>
              </w:rPr>
              <w:t>5/24/2027</w:t>
            </w: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13"/>
              <w:spacing w:after="0" w:line="135" w:lineRule="exact"/>
              <w:rPr>
                <w:sz w:val="20"/>
                <w:szCs w:val="20"/>
                <w:color w:val="auto"/>
              </w:rPr>
            </w:pPr>
            <w:r>
              <w:rPr>
                <w:rFonts w:ascii="Times New Roman" w:cs="Times New Roman" w:eastAsia="Times New Roman" w:hAnsi="Times New Roman"/>
                <w:sz w:val="13"/>
                <w:szCs w:val="13"/>
                <w:color w:val="auto"/>
              </w:rPr>
              <w:t>6/4/2018</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51,270</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2,230</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8.21</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6/3/2028</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9/18/2018</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47,120</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5,480</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16.08</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9/17/2028</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5/15/2019</w:t>
            </w:r>
          </w:p>
        </w:tc>
        <w:tc>
          <w:tcPr>
            <w:tcW w:w="1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20,343</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7,557</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24.23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5/14/2029</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5/15/2019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1300" w:type="dxa"/>
            <w:vAlign w:val="bottom"/>
            <w:gridSpan w:val="4"/>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12,055</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18,945</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31,000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24.23</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6/14/2019</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6/16/2020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22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26,666</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53,334</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80,000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10.20</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6/15/2030</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6/16/2020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7,777</w:t>
            </w: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12,223</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10.20</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6/16/2030</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90"/>
              </w:rPr>
              <w:t>5/26/2021</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13,750</w:t>
            </w:r>
          </w:p>
        </w:tc>
        <w:tc>
          <w:tcPr>
            <w:tcW w:w="4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46,250</w:t>
            </w:r>
          </w:p>
        </w:tc>
        <w:tc>
          <w:tcPr>
            <w:tcW w:w="12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25.95</w:t>
            </w:r>
          </w:p>
        </w:tc>
        <w:tc>
          <w:tcPr>
            <w:tcW w:w="9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5/25/2031</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0"/>
              </w:rPr>
              <w:t>3/11/2022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60,000</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923,400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00" w:right="140" w:hanging="884"/>
        <w:spacing w:after="0" w:line="233" w:lineRule="auto"/>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granted on November 22, 2016, November 28, 2016 and December 29, 2016 were granted pursuant to our 2015 Incentive Plan and the awards granted on or after March 23, 2017 were granted pursuant to our 2017 Equity Incentive Plan (and for Dr. Yea, also pursuant to the UK Sub-Plan to the 2017 Equity Incentive Plan).</w:t>
      </w:r>
    </w:p>
    <w:p>
      <w:pPr>
        <w:ind w:left="1000" w:right="400" w:hanging="884"/>
        <w:spacing w:after="0" w:line="221" w:lineRule="auto"/>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in these footnotes, all stock options vest monthly over a four-year period following the grant date, subject to continued service to us through each vesting date.</w:t>
      </w:r>
    </w:p>
    <w:p>
      <w:pPr>
        <w:ind w:left="1000" w:hanging="884"/>
        <w:spacing w:after="0" w:line="221" w:lineRule="auto"/>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stock option is fully vested.</w:t>
      </w:r>
    </w:p>
    <w:p>
      <w:pPr>
        <w:ind w:left="1000" w:hanging="884"/>
        <w:spacing w:after="0" w:line="221" w:lineRule="auto"/>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PSO vests as to 1/36 of the total shares monthly over a 3-year period commencing on February 7, 2021, subject to continued service to us through each vesting date.</w:t>
      </w:r>
    </w:p>
    <w:p>
      <w:pPr>
        <w:ind w:left="1000" w:hanging="884"/>
        <w:spacing w:after="0"/>
        <w:tabs>
          <w:tab w:leader="none" w:pos="10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PSO vests as to 1/48 of the total shares monthly over a 4-year period commencing on December 16, 2020, subject to continued service to us through each vesting date.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or if applicable, our subsidiary KalVista Pharmaceuticals Limited, have entered into executive employment agreements, amended from time to time, with each of our NEOs, which were most recently amended in June 2019. Each of these agreements provides for base salary, subject to periodic review. Under the employment agreement, the executive is also eligible to earn a bonus based on criteria and terms and conditions as may be established by our Board or our compensation committee in its discretion, as applicable. Under the employment agreement, the executive is also eligible to receive certain payments and benefits upon a qualifying termination of employment. See “—Potential Payments Upon Termination or Change of Control” below for additional information.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do not maintain any qualified or non-qualified defined benefit plans or supplemental executive retirement plans that cover our NEOs. For US employees, our 401(k) plan permits eligible employees to defer their annual eligible compensation subject to certain limitations imposed by the Internal Revenue Service. We match up to 4% of employee contributions to our 401(k) plan. Our UK employees participate in the UK national pension scheme, which requires us to make contributions of a fixed percentage of employee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our NEOs is party to an individual agreement that provides for certain severance benefits as described below:</w:t>
      </w:r>
    </w:p>
    <w:p>
      <w:pPr>
        <w:spacing w:after="0" w:line="22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Crockett - Termination of Employment Apart from a Change in Control and in Connection with a Change in Control. </w:t>
      </w:r>
      <w:r>
        <w:rPr>
          <w:rFonts w:ascii="Times New Roman" w:cs="Times New Roman" w:eastAsia="Times New Roman" w:hAnsi="Times New Roman"/>
          <w:sz w:val="18"/>
          <w:szCs w:val="18"/>
          <w:color w:val="auto"/>
        </w:rPr>
        <w:t>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Crockett’s employment agreement, if his employment is terminated either by us without “cause” or by Mr. Crockett for “good reason” (as such terms are defined in Mr. Crockett’s employment agreement), Mr. Crockett will be entitled to (1) a lump sum payment equal to 15 months of his base salary and (2) reimbursement for continuation coverage under COBRA for 15 months. If within two years immediately following the consummation of a “change in control” (as such term is defined in Mr. Crockett’s employment agreement), Mr. Crockett’s employment is terminated either by us without “cause” or by Mr. Crockett for “good reason” (as such terms are defined in Mr. Crockett’s employment agreement), Mr. Crockett will be entitled to (1) a lump sum cash payment equal to 21 months of his base salary, (2) a lump sum payment equal to his full target bonus for the fiscal year in which such termination of employment occurs, (3) reimbursement for continuation coverage under COBRA for 21 months (with months 19-21 consisting of a taxable lump sum cash bonus) and (4) full vesting and exercisability (to the extent applicable) of all outstanding unvested equity-based awards (with performance metrics applicable to PSOs deemed achieved in full).</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Palleiko - Termination of Employment Apart from a Change in Control and in Connection with a Change in Control. </w:t>
      </w:r>
      <w:r>
        <w:rPr>
          <w:rFonts w:ascii="Times New Roman" w:cs="Times New Roman" w:eastAsia="Times New Roman" w:hAnsi="Times New Roman"/>
          <w:sz w:val="18"/>
          <w:szCs w:val="18"/>
          <w:color w:val="auto"/>
        </w:rPr>
        <w:t>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Palleiko’s employment agreement, if Mr. Palleiko’s employment is terminated either by us without “cause” or by him for “good reason” (as such terms are defined in Mr. Palleiko’s employment agreement), Mr. Palleiko will be entitled to (1) a lump sum payment equal to 12 months of his base salary and (2) reimbursement for continuation coverage under COBRA for 12 months. If within two years immediately following the consummation of a “change in control” (as such term is defined in Mr. Palleiko’s employment agreement), Mr. Palleiko’s employment is terminated either by us without “cause” or by Mr. Palleiko for “good reason” (as such terms are defined in Mr. Palleiko’s employment agreement), Mr. Palleiko will be entitled to (1) a lump sum cash payment equal to 15 months of his base salary, (2) a lump sum payment equal to his full target bonus for the fiscal year in which such termination of employment occurs, (3) reimbursement for continuation coverage under COBRA for 15 months and (4) full vesting and exercisability (to the extent applicable) of all outstanding unvested equity-based awards (with performance metrics applicable to PSOs deemed achieved in full).</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Yea - Termination of Employment Apart from a Change in Control and in Connection with a Change in Control. </w:t>
      </w:r>
      <w:r>
        <w:rPr>
          <w:rFonts w:ascii="Times New Roman" w:cs="Times New Roman" w:eastAsia="Times New Roman" w:hAnsi="Times New Roman"/>
          <w:sz w:val="18"/>
          <w:szCs w:val="18"/>
          <w:color w:val="auto"/>
        </w:rPr>
        <w:t>Pursuant to the terms of Dr. Yea’s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and his related equity letter agreement, if Dr. Yea’s employment is terminated by us other than for certain “cause-type” reasons, including, but not limited to, any act that would warrant summary termination under local common law, Dr. Yea will be entitled to (1) a lump sum payment equal to 12 months of his base salary and (2) continuation of medical and life insurance and pension contributions for 12 months. If within two years immediately following the consummation of a “change in control” (as such term is defined in Dr. Yea’s employment agreement), Dr. Yea’s employment is terminated by us other than for certain “cause-type” reasons, including, but not limited to, any act that would warrant summary termination under local common law, Dr. Yea will be entitled to (1) a lump sum cash payment equal to 12 months of his base salary, (2) a lump sum payment equal to his full target bonus for the fiscal year in which such termination of employment occurs, (3) continuation of medical and life insurance and pension contributions for 12 months and (4) full vesting and exercisability (to the extent applicable) of all outstanding unvested equity-based awards (with performance metrics applicable to PSOs deemed achieved in full). Cash severance payable to Dr. Yea’s will be subject to reduction for payments made by the Company in lieu of providing notice for termination of employment.</w:t>
      </w:r>
    </w:p>
    <w:p>
      <w:pPr>
        <w:spacing w:after="0" w:line="192" w:lineRule="exact"/>
        <w:rPr>
          <w:sz w:val="20"/>
          <w:szCs w:val="20"/>
          <w:color w:val="auto"/>
        </w:rPr>
      </w:pPr>
    </w:p>
    <w:p>
      <w:pPr>
        <w:ind w:left="120" w:right="660"/>
        <w:spacing w:after="0" w:line="267" w:lineRule="auto"/>
        <w:rPr>
          <w:sz w:val="20"/>
          <w:szCs w:val="20"/>
          <w:color w:val="auto"/>
        </w:rPr>
      </w:pPr>
      <w:r>
        <w:rPr>
          <w:rFonts w:ascii="Times New Roman" w:cs="Times New Roman" w:eastAsia="Times New Roman" w:hAnsi="Times New Roman"/>
          <w:sz w:val="18"/>
          <w:szCs w:val="18"/>
          <w:i w:val="1"/>
          <w:iCs w:val="1"/>
          <w:color w:val="auto"/>
        </w:rPr>
        <w:t>Mr. Crockett, Mr. Palleiko and Dr. Yea - Severance Subject to Release of Claims and Restrictive Covenants</w:t>
      </w:r>
      <w:r>
        <w:rPr>
          <w:rFonts w:ascii="Times New Roman" w:cs="Times New Roman" w:eastAsia="Times New Roman" w:hAnsi="Times New Roman"/>
          <w:sz w:val="18"/>
          <w:szCs w:val="18"/>
          <w:color w:val="auto"/>
        </w:rPr>
        <w:t>. Our obligation to provide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with any severance payments or other benefits under their respective employment agreement is conditioned on the executive signing and not revoking a separation agreement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effective release of claims in our favor. Mr. Crockett and Mr. Palleiko also entered into an Employee Confidentiality, Invention Assignment and Non-Compete Agreement, and the equivalent terms were included in Dr. Yea’s service contract, which prohibits each of them from competing with us and soliciting our employees or other third parties that have a relationship with us for one year, or six months, in the case of Dr. Yea, following their termination of employment for any reason.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Say-on-Pay Vote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we are no longer considered an “emerging growth company” as defined under the JOBS Act, we will be holding our second non-binding stockholder advisory vote on the compensation of our named executive officers (a “Say-on-Pay” vote) at the Annual Meeting, following the election by our stockholders of a frequency of every “One-Year” for Say-on-Pay votes at our 2020 annual meeting. We value the opinions of our stockholders and the compensation committee and the board of directors will consider the outcome of each stockholder advisory vote, including the vote which will take place at the Annual Meeting, when we make compensation decisions for the named executive officers. For additional information about the Say-on-Pay vote, see “Proposal No. 3, included in this Proxy Statement.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information as to the beneficial ownership of our common stock as of July 31, 2022 for:</w:t>
      </w:r>
    </w:p>
    <w:p>
      <w:pPr>
        <w:spacing w:after="0" w:line="252"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4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 as set forth in the summary compensation table above;</w:t>
      </w:r>
    </w:p>
    <w:p>
      <w:pPr>
        <w:spacing w:after="0" w:line="4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4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and/or investment power with respect to securities. Unless otherwise indicated below, to our knowledge, the persons and entities named in the table below have sole voting and sole investment power with respect to all shares beneficially owned, subject to community property laws where applicable. Shares of our common stock subject to options that are currently exercisable or exercisable within 60 days of July 31, 2022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87"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Percentage ownership of our common stock in the table is based on 24,570,872 shares of our common stock issued and outstanding on July 31, 2022. Unless otherwise indicated, the address of each of the individuals and entities named below is c/o KalVista Pharmaceuticals, Inc., 55 Cambridge Parkway, Suite 901E, Cambridge, Massachusetts 02142.</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8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w:t>
            </w:r>
          </w:p>
        </w:tc>
        <w:tc>
          <w:tcPr>
            <w:tcW w:w="64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1560" w:type="dxa"/>
            <w:vAlign w:val="bottom"/>
            <w:vMerge w:val="continue"/>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6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 Andrew Crockett</w:t>
            </w:r>
            <w:r>
              <w:rPr>
                <w:rFonts w:ascii="Times New Roman" w:cs="Times New Roman" w:eastAsia="Times New Roman" w:hAnsi="Times New Roman"/>
                <w:sz w:val="25"/>
                <w:szCs w:val="25"/>
                <w:color w:val="auto"/>
                <w:vertAlign w:val="superscript"/>
              </w:rPr>
              <w:t>(1)</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108,170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723,625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831,795</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3.3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Benjamin L. Palleiko</w:t>
            </w:r>
            <w:r>
              <w:rPr>
                <w:rFonts w:ascii="Times New Roman" w:cs="Times New Roman" w:eastAsia="Times New Roman" w:hAnsi="Times New Roman"/>
                <w:sz w:val="25"/>
                <w:szCs w:val="25"/>
                <w:color w:val="auto"/>
                <w:vertAlign w:val="superscript"/>
              </w:rPr>
              <w:t>(2)</w:t>
            </w:r>
          </w:p>
        </w:tc>
        <w:tc>
          <w:tcPr>
            <w:tcW w:w="11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rPr>
              <w:t>65,000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360,291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425,291</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7"/>
              </w:rPr>
              <w:t>1.7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Christopher M. Yea, Ph.D.</w:t>
            </w:r>
            <w:r>
              <w:rPr>
                <w:rFonts w:ascii="Times New Roman" w:cs="Times New Roman" w:eastAsia="Times New Roman" w:hAnsi="Times New Roman"/>
                <w:sz w:val="25"/>
                <w:szCs w:val="25"/>
                <w:color w:val="auto"/>
                <w:vertAlign w:val="superscript"/>
              </w:rPr>
              <w:t>(3)</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32,969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335,805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368,774</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1.5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Albert Cha, M.D., Ph.D.</w:t>
            </w:r>
            <w:r>
              <w:rPr>
                <w:rFonts w:ascii="Times New Roman" w:cs="Times New Roman" w:eastAsia="Times New Roman" w:hAnsi="Times New Roman"/>
                <w:sz w:val="25"/>
                <w:szCs w:val="25"/>
                <w:color w:val="auto"/>
                <w:vertAlign w:val="superscript"/>
              </w:rPr>
              <w:t>(4)</w:t>
            </w:r>
          </w:p>
        </w:tc>
        <w:tc>
          <w:tcPr>
            <w:tcW w:w="11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48,166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48,166</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Martin Edwards, M.D.</w:t>
            </w:r>
            <w:r>
              <w:rPr>
                <w:rFonts w:ascii="Times New Roman" w:cs="Times New Roman" w:eastAsia="Times New Roman" w:hAnsi="Times New Roman"/>
                <w:sz w:val="25"/>
                <w:szCs w:val="25"/>
                <w:color w:val="auto"/>
                <w:vertAlign w:val="superscript"/>
              </w:rPr>
              <w:t>(5)</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30,166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30,166</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Brian J. G. Pereira, M.D.</w:t>
            </w:r>
            <w:r>
              <w:rPr>
                <w:rFonts w:ascii="Times New Roman" w:cs="Times New Roman" w:eastAsia="Times New Roman" w:hAnsi="Times New Roman"/>
                <w:sz w:val="25"/>
                <w:szCs w:val="25"/>
                <w:color w:val="auto"/>
                <w:vertAlign w:val="superscript"/>
              </w:rPr>
              <w:t>(6)</w:t>
            </w:r>
          </w:p>
        </w:tc>
        <w:tc>
          <w:tcPr>
            <w:tcW w:w="11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30,166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30,166</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Patrick Treanor</w:t>
            </w:r>
            <w:r>
              <w:rPr>
                <w:rFonts w:ascii="Times New Roman" w:cs="Times New Roman" w:eastAsia="Times New Roman" w:hAnsi="Times New Roman"/>
                <w:sz w:val="25"/>
                <w:szCs w:val="25"/>
                <w:color w:val="auto"/>
                <w:vertAlign w:val="superscript"/>
              </w:rPr>
              <w:t>(7)</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1,888</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Nancy Stuart</w:t>
            </w:r>
            <w:r>
              <w:rPr>
                <w:rFonts w:ascii="Times New Roman" w:cs="Times New Roman" w:eastAsia="Times New Roman" w:hAnsi="Times New Roman"/>
                <w:sz w:val="25"/>
                <w:szCs w:val="25"/>
                <w:color w:val="auto"/>
                <w:vertAlign w:val="superscript"/>
              </w:rPr>
              <w:t>(8)</w:t>
            </w:r>
          </w:p>
        </w:tc>
        <w:tc>
          <w:tcPr>
            <w:tcW w:w="11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Edward W. Unkart</w:t>
            </w:r>
            <w:r>
              <w:rPr>
                <w:rFonts w:ascii="Times New Roman" w:cs="Times New Roman" w:eastAsia="Times New Roman" w:hAnsi="Times New Roman"/>
                <w:sz w:val="25"/>
                <w:szCs w:val="25"/>
                <w:color w:val="auto"/>
                <w:vertAlign w:val="superscript"/>
              </w:rPr>
              <w:t>(9)</w:t>
            </w: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48,166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48,166</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13 directors and executive officers as a group</w:t>
            </w:r>
            <w:r>
              <w:rPr>
                <w:rFonts w:ascii="Times New Roman" w:cs="Times New Roman" w:eastAsia="Times New Roman" w:hAnsi="Times New Roman"/>
                <w:sz w:val="25"/>
                <w:szCs w:val="25"/>
                <w:color w:val="auto"/>
                <w:vertAlign w:val="superscript"/>
              </w:rPr>
              <w:t>(10)</w:t>
            </w:r>
          </w:p>
        </w:tc>
        <w:tc>
          <w:tcPr>
            <w:tcW w:w="11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282,530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1,912,132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2,194,793</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7"/>
              </w:rPr>
              <w:t>8.3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Tang Capital Partners, LP</w:t>
            </w:r>
            <w:r>
              <w:rPr>
                <w:rFonts w:ascii="Times New Roman" w:cs="Times New Roman" w:eastAsia="Times New Roman" w:hAnsi="Times New Roman"/>
                <w:sz w:val="25"/>
                <w:szCs w:val="25"/>
                <w:color w:val="auto"/>
                <w:vertAlign w:val="superscript"/>
              </w:rPr>
              <w:t>(11)</w:t>
            </w:r>
          </w:p>
        </w:tc>
        <w:tc>
          <w:tcPr>
            <w:tcW w:w="11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1,400,000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1,400,000</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7"/>
              </w:rPr>
              <w:t>5.7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Great Point Partners, LLC</w:t>
            </w:r>
            <w:r>
              <w:rPr>
                <w:rFonts w:ascii="Times New Roman" w:cs="Times New Roman" w:eastAsia="Times New Roman" w:hAnsi="Times New Roman"/>
                <w:sz w:val="25"/>
                <w:szCs w:val="25"/>
                <w:color w:val="auto"/>
                <w:vertAlign w:val="superscript"/>
              </w:rPr>
              <w:t>(12)</w:t>
            </w: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1,280,000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1,280,000</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5.2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Deep Track Capital, LP</w:t>
            </w:r>
            <w:r>
              <w:rPr>
                <w:rFonts w:ascii="Times New Roman" w:cs="Times New Roman" w:eastAsia="Times New Roman" w:hAnsi="Times New Roman"/>
                <w:sz w:val="25"/>
                <w:szCs w:val="25"/>
                <w:color w:val="auto"/>
                <w:vertAlign w:val="superscript"/>
              </w:rPr>
              <w:t>(13)</w:t>
            </w:r>
          </w:p>
        </w:tc>
        <w:tc>
          <w:tcPr>
            <w:tcW w:w="11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1,500,000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1,500,000</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7"/>
              </w:rPr>
              <w:t>6.1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Vivo Capital</w:t>
            </w:r>
            <w:r>
              <w:rPr>
                <w:rFonts w:ascii="Times New Roman" w:cs="Times New Roman" w:eastAsia="Times New Roman" w:hAnsi="Times New Roman"/>
                <w:sz w:val="25"/>
                <w:szCs w:val="25"/>
                <w:color w:val="auto"/>
                <w:vertAlign w:val="superscript"/>
              </w:rPr>
              <w:t>(14)</w:t>
            </w: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1,533,559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1,533,559</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6.2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(15)</w:t>
            </w:r>
          </w:p>
        </w:tc>
        <w:tc>
          <w:tcPr>
            <w:tcW w:w="11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1,504,620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1,504,620</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7"/>
              </w:rPr>
              <w:t>6.1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Wellington Management Group</w:t>
            </w:r>
            <w:r>
              <w:rPr>
                <w:rFonts w:ascii="Times New Roman" w:cs="Times New Roman" w:eastAsia="Times New Roman" w:hAnsi="Times New Roman"/>
                <w:sz w:val="25"/>
                <w:szCs w:val="25"/>
                <w:color w:val="auto"/>
                <w:vertAlign w:val="superscript"/>
              </w:rPr>
              <w:t>(16)</w:t>
            </w: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1,811,505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1,811,505</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7.4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Franklin Resources, Inc.</w:t>
            </w:r>
            <w:r>
              <w:rPr>
                <w:rFonts w:ascii="Times New Roman" w:cs="Times New Roman" w:eastAsia="Times New Roman" w:hAnsi="Times New Roman"/>
                <w:sz w:val="25"/>
                <w:szCs w:val="25"/>
                <w:color w:val="auto"/>
                <w:vertAlign w:val="superscript"/>
              </w:rPr>
              <w:t>(17)</w:t>
            </w:r>
          </w:p>
        </w:tc>
        <w:tc>
          <w:tcPr>
            <w:tcW w:w="11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1,252,142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1,252,142</w:t>
            </w:r>
          </w:p>
        </w:tc>
        <w:tc>
          <w:tcPr>
            <w:tcW w:w="64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7"/>
              </w:rPr>
              <w:t>5.1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Entities affiliated with Suvretta Capital Management, LLC</w:t>
            </w:r>
            <w:r>
              <w:rPr>
                <w:rFonts w:ascii="Times New Roman" w:cs="Times New Roman" w:eastAsia="Times New Roman" w:hAnsi="Times New Roman"/>
                <w:sz w:val="22"/>
                <w:szCs w:val="22"/>
                <w:color w:val="auto"/>
                <w:vertAlign w:val="superscript"/>
              </w:rPr>
              <w:t>(18)</w:t>
            </w:r>
          </w:p>
        </w:tc>
        <w:tc>
          <w:tcPr>
            <w:tcW w:w="1140" w:type="dxa"/>
            <w:vAlign w:val="bottom"/>
          </w:tcPr>
          <w:p>
            <w:pPr>
              <w:jc w:val="center"/>
              <w:ind w:right="52"/>
              <w:spacing w:after="0" w:line="198" w:lineRule="exact"/>
              <w:rPr>
                <w:sz w:val="20"/>
                <w:szCs w:val="20"/>
                <w:color w:val="auto"/>
              </w:rPr>
            </w:pPr>
            <w:r>
              <w:rPr>
                <w:rFonts w:ascii="Times New Roman" w:cs="Times New Roman" w:eastAsia="Times New Roman" w:hAnsi="Times New Roman"/>
                <w:sz w:val="18"/>
                <w:szCs w:val="18"/>
                <w:color w:val="auto"/>
                <w:w w:val="99"/>
              </w:rPr>
              <w:t>1,746,300</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1,746,300</w:t>
            </w:r>
          </w:p>
        </w:tc>
        <w:tc>
          <w:tcPr>
            <w:tcW w:w="640" w:type="dxa"/>
            <w:vAlign w:val="bottom"/>
          </w:tcPr>
          <w:p>
            <w:pPr>
              <w:jc w:val="center"/>
              <w:ind w:left="171"/>
              <w:spacing w:after="0" w:line="198" w:lineRule="exact"/>
              <w:rPr>
                <w:sz w:val="20"/>
                <w:szCs w:val="20"/>
                <w:color w:val="auto"/>
              </w:rPr>
            </w:pPr>
            <w:r>
              <w:rPr>
                <w:rFonts w:ascii="Times New Roman" w:cs="Times New Roman" w:eastAsia="Times New Roman" w:hAnsi="Times New Roman"/>
                <w:sz w:val="18"/>
                <w:szCs w:val="18"/>
                <w:color w:val="auto"/>
                <w:w w:val="97"/>
              </w:rPr>
              <w:t>7.1</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980" w:type="dxa"/>
            <w:vAlign w:val="bottom"/>
          </w:tcPr>
          <w:p>
            <w:pPr>
              <w:spacing w:after="0" w:line="227" w:lineRule="exact"/>
              <w:rPr>
                <w:sz w:val="20"/>
                <w:szCs w:val="20"/>
                <w:color w:val="auto"/>
              </w:rPr>
            </w:pPr>
            <w:r>
              <w:rPr>
                <w:rFonts w:ascii="Times New Roman" w:cs="Times New Roman" w:eastAsia="Times New Roman" w:hAnsi="Times New Roman"/>
                <w:sz w:val="18"/>
                <w:szCs w:val="18"/>
                <w:color w:val="auto"/>
              </w:rPr>
              <w:t>Entities affiliated with R.A. Capital Management</w:t>
            </w:r>
            <w:r>
              <w:rPr>
                <w:rFonts w:ascii="Times New Roman" w:cs="Times New Roman" w:eastAsia="Times New Roman" w:hAnsi="Times New Roman"/>
                <w:sz w:val="26"/>
                <w:szCs w:val="26"/>
                <w:color w:val="auto"/>
                <w:vertAlign w:val="superscript"/>
              </w:rPr>
              <w:t>(19)</w:t>
            </w: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1,930,322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1,930,322</w:t>
            </w:r>
          </w:p>
        </w:tc>
        <w:tc>
          <w:tcPr>
            <w:tcW w:w="64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7"/>
              </w:rPr>
              <w:t>7.9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000" w:hanging="884"/>
        <w:spacing w:after="0"/>
        <w:tabs>
          <w:tab w:leader="none" w:pos="10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our outstanding shares of common stock.</w:t>
      </w:r>
    </w:p>
    <w:p>
      <w:pPr>
        <w:spacing w:after="0" w:line="37" w:lineRule="exact"/>
        <w:rPr>
          <w:sz w:val="20"/>
          <w:szCs w:val="20"/>
          <w:color w:val="auto"/>
        </w:rPr>
      </w:pPr>
    </w:p>
    <w:p>
      <w:pPr>
        <w:ind w:left="1000" w:right="160" w:hanging="884"/>
        <w:spacing w:after="0" w:line="264" w:lineRule="auto"/>
        <w:tabs>
          <w:tab w:leader="none" w:pos="100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 Andrew Crockett. </w:t>
      </w:r>
      <w:r>
        <w:rPr>
          <w:rFonts w:ascii="Times New Roman" w:cs="Times New Roman" w:eastAsia="Times New Roman" w:hAnsi="Times New Roman"/>
          <w:sz w:val="14"/>
          <w:szCs w:val="14"/>
          <w:color w:val="auto"/>
        </w:rPr>
        <w:t>Consists of (i) 108,170 shares of our common stock held by Mr. Crockett; (ii) 5,805 shares issuable upon settlement of restricted stock unit awards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vest within 60 days of July 31, 2022, and (iii) 717,820 shares of our common stock issuable to Mr. Crockett upon exercise of stock options within 60 days of July 31, 2022.</w:t>
      </w:r>
    </w:p>
    <w:p>
      <w:pPr>
        <w:spacing w:after="0" w:line="10" w:lineRule="exact"/>
        <w:rPr>
          <w:rFonts w:ascii="Times New Roman" w:cs="Times New Roman" w:eastAsia="Times New Roman" w:hAnsi="Times New Roman"/>
          <w:sz w:val="14"/>
          <w:szCs w:val="14"/>
          <w:b w:val="1"/>
          <w:bCs w:val="1"/>
          <w:color w:val="auto"/>
        </w:rPr>
      </w:pPr>
    </w:p>
    <w:p>
      <w:pPr>
        <w:ind w:left="1000" w:right="180" w:hanging="884"/>
        <w:spacing w:after="0" w:line="264" w:lineRule="auto"/>
        <w:tabs>
          <w:tab w:leader="none" w:pos="100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Benjamin L. Palleiko. </w:t>
      </w:r>
      <w:r>
        <w:rPr>
          <w:rFonts w:ascii="Times New Roman" w:cs="Times New Roman" w:eastAsia="Times New Roman" w:hAnsi="Times New Roman"/>
          <w:sz w:val="14"/>
          <w:szCs w:val="14"/>
          <w:color w:val="auto"/>
        </w:rPr>
        <w:t>Consists of (i) 65,000 shares of our common stock held by Mr. Palleiko; (ii) 2,418 shares issuable upon settlement of restricted stock unit awards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vest within 60 days of July 31, 2022, and (iii) 357,873 shares of our common stock issuable to Mr. Palleiko upon exercise of stock options within 60 days of July 31, 2022.</w:t>
      </w:r>
    </w:p>
    <w:p>
      <w:pPr>
        <w:spacing w:after="0" w:line="10" w:lineRule="exact"/>
        <w:rPr>
          <w:rFonts w:ascii="Times New Roman" w:cs="Times New Roman" w:eastAsia="Times New Roman" w:hAnsi="Times New Roman"/>
          <w:sz w:val="14"/>
          <w:szCs w:val="14"/>
          <w:b w:val="1"/>
          <w:bCs w:val="1"/>
          <w:color w:val="auto"/>
        </w:rPr>
      </w:pPr>
    </w:p>
    <w:p>
      <w:pPr>
        <w:ind w:left="1000" w:right="140" w:hanging="884"/>
        <w:spacing w:after="0" w:line="264" w:lineRule="auto"/>
        <w:tabs>
          <w:tab w:leader="none" w:pos="100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Christopher M. Yea, Ph.D. </w:t>
      </w:r>
      <w:r>
        <w:rPr>
          <w:rFonts w:ascii="Times New Roman" w:cs="Times New Roman" w:eastAsia="Times New Roman" w:hAnsi="Times New Roman"/>
          <w:sz w:val="14"/>
          <w:szCs w:val="14"/>
          <w:color w:val="auto"/>
        </w:rPr>
        <w:t>Consists of (i) 32,969 shares of our common stock held by Mr. Yea; (ii) 1,773 shares issuable upon settlement of restricted stock unit awards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vest within 60 days of July 31, 2022, and (iii) 334,032 shares of our common stock issuable to Mr. Yea upon exercise of stock options within 60 days of July 31, 2022.</w:t>
      </w:r>
    </w:p>
    <w:p>
      <w:pPr>
        <w:spacing w:after="0" w:line="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1000" w:hanging="884"/>
        <w:spacing w:after="0"/>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Albert Cha, M.D., Ph.D. </w:t>
      </w:r>
      <w:r>
        <w:rPr>
          <w:rFonts w:ascii="Times New Roman" w:cs="Times New Roman" w:eastAsia="Times New Roman" w:hAnsi="Times New Roman"/>
          <w:sz w:val="14"/>
          <w:szCs w:val="14"/>
          <w:color w:val="auto"/>
        </w:rPr>
        <w:t>Consists of 48,166 shares of our common stock issuable to Dr. Cha upon exercise of stock options exercisable within 60 days of July 31, 2022.</w:t>
      </w:r>
    </w:p>
    <w:p>
      <w:pPr>
        <w:spacing w:after="0" w:line="55" w:lineRule="exact"/>
        <w:rPr>
          <w:rFonts w:ascii="Times New Roman" w:cs="Times New Roman" w:eastAsia="Times New Roman" w:hAnsi="Times New Roman"/>
          <w:sz w:val="14"/>
          <w:szCs w:val="14"/>
          <w:b w:val="1"/>
          <w:bCs w:val="1"/>
          <w:color w:val="auto"/>
        </w:rPr>
      </w:pPr>
    </w:p>
    <w:p>
      <w:pPr>
        <w:ind w:left="1000" w:hanging="884"/>
        <w:spacing w:after="0"/>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Martin Edwards, M.D. </w:t>
      </w:r>
      <w:r>
        <w:rPr>
          <w:rFonts w:ascii="Times New Roman" w:cs="Times New Roman" w:eastAsia="Times New Roman" w:hAnsi="Times New Roman"/>
          <w:sz w:val="14"/>
          <w:szCs w:val="14"/>
          <w:color w:val="auto"/>
        </w:rPr>
        <w:t>Consists of 30,166 shares of our common stock issuable to Dr. Edwards upon exercise of stock options within 60 days of July 31, 2022.</w:t>
      </w:r>
    </w:p>
    <w:p>
      <w:pPr>
        <w:spacing w:after="0" w:line="55" w:lineRule="exact"/>
        <w:rPr>
          <w:rFonts w:ascii="Times New Roman" w:cs="Times New Roman" w:eastAsia="Times New Roman" w:hAnsi="Times New Roman"/>
          <w:sz w:val="14"/>
          <w:szCs w:val="14"/>
          <w:b w:val="1"/>
          <w:bCs w:val="1"/>
          <w:color w:val="auto"/>
        </w:rPr>
      </w:pPr>
    </w:p>
    <w:p>
      <w:pPr>
        <w:ind w:left="1000" w:hanging="884"/>
        <w:spacing w:after="0"/>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Brian J. G. Pereria, M.D. </w:t>
      </w:r>
      <w:r>
        <w:rPr>
          <w:rFonts w:ascii="Times New Roman" w:cs="Times New Roman" w:eastAsia="Times New Roman" w:hAnsi="Times New Roman"/>
          <w:sz w:val="14"/>
          <w:szCs w:val="14"/>
          <w:color w:val="auto"/>
        </w:rPr>
        <w:t>Consists of 30,166 shares of our common stock issuable to Dr. Pereira upon exercise of stock options within 60 days of July 31, 2022.</w:t>
      </w:r>
    </w:p>
    <w:p>
      <w:pPr>
        <w:spacing w:after="0" w:line="55" w:lineRule="exact"/>
        <w:rPr>
          <w:rFonts w:ascii="Times New Roman" w:cs="Times New Roman" w:eastAsia="Times New Roman" w:hAnsi="Times New Roman"/>
          <w:sz w:val="14"/>
          <w:szCs w:val="14"/>
          <w:b w:val="1"/>
          <w:bCs w:val="1"/>
          <w:color w:val="auto"/>
        </w:rPr>
      </w:pPr>
    </w:p>
    <w:p>
      <w:pPr>
        <w:ind w:left="1000" w:hanging="884"/>
        <w:spacing w:after="0"/>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Patrick Treanor. </w:t>
      </w:r>
      <w:r>
        <w:rPr>
          <w:rFonts w:ascii="Times New Roman" w:cs="Times New Roman" w:eastAsia="Times New Roman" w:hAnsi="Times New Roman"/>
          <w:sz w:val="14"/>
          <w:szCs w:val="14"/>
          <w:color w:val="auto"/>
        </w:rPr>
        <w:t>Consists of 1,888 shares of our common stock issuable to Ms. Treanor upon exercise of stock options within 60 days of July 31, 2022.</w:t>
      </w:r>
    </w:p>
    <w:p>
      <w:pPr>
        <w:spacing w:after="0" w:line="55" w:lineRule="exact"/>
        <w:rPr>
          <w:rFonts w:ascii="Times New Roman" w:cs="Times New Roman" w:eastAsia="Times New Roman" w:hAnsi="Times New Roman"/>
          <w:sz w:val="14"/>
          <w:szCs w:val="14"/>
          <w:b w:val="1"/>
          <w:bCs w:val="1"/>
          <w:color w:val="auto"/>
        </w:rPr>
      </w:pPr>
    </w:p>
    <w:p>
      <w:pPr>
        <w:ind w:left="1000" w:hanging="884"/>
        <w:spacing w:after="0"/>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Nancy Stuart</w:t>
      </w:r>
      <w:r>
        <w:rPr>
          <w:rFonts w:ascii="Times New Roman" w:cs="Times New Roman" w:eastAsia="Times New Roman" w:hAnsi="Times New Roman"/>
          <w:sz w:val="14"/>
          <w:szCs w:val="14"/>
          <w:color w:val="auto"/>
        </w:rPr>
        <w:t>. Consists of 7,000 shares of our common stock issuable to Ms. Stuart upon exercise of stock options within 60 days of July 31, 2022.</w:t>
      </w:r>
    </w:p>
    <w:p>
      <w:pPr>
        <w:spacing w:after="0" w:line="55" w:lineRule="exact"/>
        <w:rPr>
          <w:rFonts w:ascii="Times New Roman" w:cs="Times New Roman" w:eastAsia="Times New Roman" w:hAnsi="Times New Roman"/>
          <w:sz w:val="14"/>
          <w:szCs w:val="14"/>
          <w:b w:val="1"/>
          <w:bCs w:val="1"/>
          <w:color w:val="auto"/>
        </w:rPr>
      </w:pPr>
    </w:p>
    <w:p>
      <w:pPr>
        <w:ind w:left="1000" w:hanging="884"/>
        <w:spacing w:after="0"/>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Edward W. Unkart. </w:t>
      </w:r>
      <w:r>
        <w:rPr>
          <w:rFonts w:ascii="Times New Roman" w:cs="Times New Roman" w:eastAsia="Times New Roman" w:hAnsi="Times New Roman"/>
          <w:sz w:val="14"/>
          <w:szCs w:val="14"/>
          <w:color w:val="auto"/>
        </w:rPr>
        <w:t>Consists of 48,166 shares of our common stock issuable to Mr. Unkart upon exercise of stock options within 60 days of July 31, 2022.</w:t>
      </w:r>
    </w:p>
    <w:p>
      <w:pPr>
        <w:spacing w:after="0" w:line="55" w:lineRule="exact"/>
        <w:rPr>
          <w:rFonts w:ascii="Times New Roman" w:cs="Times New Roman" w:eastAsia="Times New Roman" w:hAnsi="Times New Roman"/>
          <w:sz w:val="14"/>
          <w:szCs w:val="14"/>
          <w:b w:val="1"/>
          <w:bCs w:val="1"/>
          <w:color w:val="auto"/>
        </w:rPr>
      </w:pPr>
    </w:p>
    <w:p>
      <w:pPr>
        <w:ind w:left="1000" w:right="160" w:hanging="884"/>
        <w:spacing w:after="0" w:line="243"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Officers &amp; Directors as a Group. </w:t>
      </w:r>
      <w:r>
        <w:rPr>
          <w:rFonts w:ascii="Times New Roman" w:cs="Times New Roman" w:eastAsia="Times New Roman" w:hAnsi="Times New Roman"/>
          <w:sz w:val="14"/>
          <w:szCs w:val="14"/>
          <w:color w:val="auto"/>
        </w:rPr>
        <w:t>Consists of (i) 282,530 shares of our common stock held by our executive officers and directors directly and indirectly; (ii) 15,154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issuable upon settlement of restricted stock unit awards that vest within 60 days of July 31, 2022, and (iii) 1,897,109 shares of our common stock issuable to them upon exercise of stock options exercisable within 60 days of July 31, 2022.</w:t>
      </w:r>
    </w:p>
    <w:p>
      <w:pPr>
        <w:spacing w:after="0" w:line="24" w:lineRule="exact"/>
        <w:rPr>
          <w:rFonts w:ascii="Times New Roman" w:cs="Times New Roman" w:eastAsia="Times New Roman" w:hAnsi="Times New Roman"/>
          <w:sz w:val="14"/>
          <w:szCs w:val="14"/>
          <w:b w:val="1"/>
          <w:bCs w:val="1"/>
          <w:color w:val="auto"/>
        </w:rPr>
      </w:pPr>
    </w:p>
    <w:p>
      <w:pPr>
        <w:ind w:left="1000" w:right="60" w:hanging="884"/>
        <w:spacing w:after="0" w:line="243"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Tang Capital Partners, LP. </w:t>
      </w:r>
      <w:r>
        <w:rPr>
          <w:rFonts w:ascii="Times New Roman" w:cs="Times New Roman" w:eastAsia="Times New Roman" w:hAnsi="Times New Roman"/>
          <w:sz w:val="14"/>
          <w:szCs w:val="14"/>
          <w:color w:val="auto"/>
        </w:rPr>
        <w:t>Based on Schedule 13G filed on May 26, 2022. Consists of 1,400,000 shares held by Tang Capital Partners, LP (“Tang Capital”). Tang Capital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Management, LLC (“Tang Management”), is the general partner of Tang Capital and Kevin Tang is the manager of Tang Management. All parties share voting and dispositive power over such shares and beneficially owners shares of the company’s common stock. The principal address is 4747 Executive Drive, Suite 210, San Diego, CA 92121.</w:t>
      </w:r>
    </w:p>
    <w:p>
      <w:pPr>
        <w:spacing w:after="0" w:line="24" w:lineRule="exact"/>
        <w:rPr>
          <w:rFonts w:ascii="Times New Roman" w:cs="Times New Roman" w:eastAsia="Times New Roman" w:hAnsi="Times New Roman"/>
          <w:sz w:val="14"/>
          <w:szCs w:val="14"/>
          <w:b w:val="1"/>
          <w:bCs w:val="1"/>
          <w:color w:val="auto"/>
        </w:rPr>
      </w:pPr>
    </w:p>
    <w:p>
      <w:pPr>
        <w:ind w:left="1000" w:hanging="884"/>
        <w:spacing w:after="0" w:line="229"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Great Point Partners, LLC. </w:t>
      </w:r>
      <w:r>
        <w:rPr>
          <w:rFonts w:ascii="Times New Roman" w:cs="Times New Roman" w:eastAsia="Times New Roman" w:hAnsi="Times New Roman"/>
          <w:sz w:val="14"/>
          <w:szCs w:val="14"/>
          <w:color w:val="auto"/>
        </w:rPr>
        <w:t>Based on Schedule 13G filed on May 18, 2022. Biomedical Value Fund, L.P. (“BVF”) is the record owner of 759,039 shares (the “BVF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Great Point Partners, LLC (“Great Point”) is the investment manager of BVF, and by virtue of such status may be deemed to be the beneficial owner of the BVF Shares. Each of Dr. Jeffrey R. Jay, M.D. (“Dr. Jay”), as senior managing member of Great Point, and Mr. Ortav Yehudai (“Mr. Yehudai”), as Managing Director of Great Point, has voting and investment power with respect to the BVF Shares, and therefore may be deemed to be the beneficial owner of the BVF Shares. Biomedical Offshore Value Fund, Ltd. (“BOVF”) is the record owner of 520,961 shares (the “BOVF Shares”). Great Point is the investment manager of BOVF, and by virtue of such status may be deemed to be the beneficial owner of the BOVF Shares. Each of Dr. Jay, as senior managing member of Great Point, and Mr. Yehudai, as Managing Director of Great Point, has voting and investment power with respect to the BOVF Shares, and therefore may be deemed to be the beneficial owner of the BOVF Shares. The principal address is 165 Mason Street, 3rd Floor, Greenwich, CT 06830.</w:t>
      </w:r>
    </w:p>
    <w:p>
      <w:pPr>
        <w:spacing w:after="0" w:line="26" w:lineRule="exact"/>
        <w:rPr>
          <w:rFonts w:ascii="Times New Roman" w:cs="Times New Roman" w:eastAsia="Times New Roman" w:hAnsi="Times New Roman"/>
          <w:sz w:val="14"/>
          <w:szCs w:val="14"/>
          <w:b w:val="1"/>
          <w:bCs w:val="1"/>
          <w:color w:val="auto"/>
        </w:rPr>
      </w:pPr>
    </w:p>
    <w:p>
      <w:pPr>
        <w:ind w:left="1000" w:hanging="884"/>
        <w:spacing w:after="0" w:line="233"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Entities affiliated with Deep Track Capital, LP. </w:t>
      </w:r>
      <w:r>
        <w:rPr>
          <w:rFonts w:ascii="Times New Roman" w:cs="Times New Roman" w:eastAsia="Times New Roman" w:hAnsi="Times New Roman"/>
          <w:sz w:val="14"/>
          <w:szCs w:val="14"/>
          <w:color w:val="auto"/>
        </w:rPr>
        <w:t>Based on Schedule 13G/A filed on February 14, 2022. Consists of shares owned by Deep Track Capital, LP, Deep Track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Biotechnology Master Fund, Ltd. and David Kroin (together, the “Reporting Persons”). The Reporting Persons share voting and dispositive power over 1,500,000 shares. Deep Track Capital, LP is the relevant entity for which David Kroin may be considered a control person. The principal business address of Deep Track Capital, LP is 200 Greenwich Ave, 3rd Floor, Greenwich, CT 06830 and the principal address of Deep Track Biotechnology Master Fund, Ltd. is c/o Walkers Corporate Limited, 190 Elgin Avenue, George Town, KY 1-9001, Cayman Islands.</w:t>
      </w:r>
    </w:p>
    <w:p>
      <w:pPr>
        <w:spacing w:after="0" w:line="28" w:lineRule="exact"/>
        <w:rPr>
          <w:rFonts w:ascii="Times New Roman" w:cs="Times New Roman" w:eastAsia="Times New Roman" w:hAnsi="Times New Roman"/>
          <w:sz w:val="14"/>
          <w:szCs w:val="14"/>
          <w:b w:val="1"/>
          <w:bCs w:val="1"/>
          <w:color w:val="auto"/>
        </w:rPr>
      </w:pPr>
    </w:p>
    <w:p>
      <w:pPr>
        <w:jc w:val="both"/>
        <w:ind w:left="1000" w:right="120" w:hanging="884"/>
        <w:spacing w:after="0" w:line="243"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Entities Affiliated with Vivo Capital. </w:t>
      </w:r>
      <w:r>
        <w:rPr>
          <w:rFonts w:ascii="Times New Roman" w:cs="Times New Roman" w:eastAsia="Times New Roman" w:hAnsi="Times New Roman"/>
          <w:sz w:val="14"/>
          <w:szCs w:val="14"/>
          <w:color w:val="auto"/>
        </w:rPr>
        <w:t>Based on Schedule 13G/A filed on February 11, 2022. Consists of (i) 150,380 shares of our common stock held by Vivo Capital Fund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IX, L.P. Vivo Capital IX, LLC is the general partner of Vivo Capital Fund IX, L.P., and (ii) 1,383,179 shares of our common stock held by Vivo Opportunity Fund, L.P. Vivo Opportunity, LLC is the general partner of Vivo Opportunity Fund, L.P. The principal address is 192 Lytton Avenue, Palo Alto, CA 94301.</w:t>
      </w:r>
    </w:p>
    <w:p>
      <w:pPr>
        <w:spacing w:after="0" w:line="24" w:lineRule="exact"/>
        <w:rPr>
          <w:rFonts w:ascii="Times New Roman" w:cs="Times New Roman" w:eastAsia="Times New Roman" w:hAnsi="Times New Roman"/>
          <w:sz w:val="14"/>
          <w:szCs w:val="14"/>
          <w:b w:val="1"/>
          <w:bCs w:val="1"/>
          <w:color w:val="auto"/>
        </w:rPr>
      </w:pPr>
    </w:p>
    <w:p>
      <w:pPr>
        <w:ind w:left="1000" w:hanging="884"/>
        <w:spacing w:after="0" w:line="233"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Blackrock, Inc. </w:t>
      </w:r>
      <w:r>
        <w:rPr>
          <w:rFonts w:ascii="Times New Roman" w:cs="Times New Roman" w:eastAsia="Times New Roman" w:hAnsi="Times New Roman"/>
          <w:sz w:val="14"/>
          <w:szCs w:val="14"/>
          <w:color w:val="auto"/>
        </w:rPr>
        <w:t>Based on Schedule 13G/A filed on February 1, 2022. Blackrock, Inc. has sole voting power with respect to 1,497,746 shares and sole dispositive power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to all 1,504,620 shares. Based on information contained in the Schedule 13G/A, BlackRock is the beneficial owner as a result of being a parent company or control person of the following subsidiaries, each of which holds less than 5% of the outstanding shares of common stock: Aperio Group, LLC; BlackRock Advisors, LLC; BlackRock Asset Management Canada Limited; BlackRock Fund Advisors; BlackRock Asset Management Ireland Limited; BlackRock Institutional Trust Company, National Association; BlackRock Financial Management, Inc.; BlackRock Investment Management, LLC. The principal address is 55 East 52nd Street, New York, NY 10055.</w:t>
      </w:r>
    </w:p>
    <w:p>
      <w:pPr>
        <w:spacing w:after="0" w:line="28" w:lineRule="exact"/>
        <w:rPr>
          <w:rFonts w:ascii="Times New Roman" w:cs="Times New Roman" w:eastAsia="Times New Roman" w:hAnsi="Times New Roman"/>
          <w:sz w:val="14"/>
          <w:szCs w:val="14"/>
          <w:b w:val="1"/>
          <w:bCs w:val="1"/>
          <w:color w:val="auto"/>
        </w:rPr>
      </w:pPr>
    </w:p>
    <w:p>
      <w:pPr>
        <w:ind w:left="1000" w:hanging="884"/>
        <w:spacing w:after="0" w:line="233"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Entities affiliated with Wellington Management Group. </w:t>
      </w:r>
      <w:r>
        <w:rPr>
          <w:rFonts w:ascii="Times New Roman" w:cs="Times New Roman" w:eastAsia="Times New Roman" w:hAnsi="Times New Roman"/>
          <w:sz w:val="14"/>
          <w:szCs w:val="14"/>
          <w:color w:val="auto"/>
        </w:rPr>
        <w:t>Based on Schedule 13G filed on February 4, 2022. Wellington Management Group LLP, as parent holding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address is 280 Congress St., Boston, MA 02210.</w:t>
      </w:r>
    </w:p>
    <w:p>
      <w:pPr>
        <w:spacing w:after="0" w:line="28" w:lineRule="exact"/>
        <w:rPr>
          <w:rFonts w:ascii="Times New Roman" w:cs="Times New Roman" w:eastAsia="Times New Roman" w:hAnsi="Times New Roman"/>
          <w:sz w:val="14"/>
          <w:szCs w:val="14"/>
          <w:b w:val="1"/>
          <w:bCs w:val="1"/>
          <w:color w:val="auto"/>
        </w:rPr>
      </w:pPr>
    </w:p>
    <w:p>
      <w:pPr>
        <w:ind w:left="1000" w:right="40" w:hanging="884"/>
        <w:spacing w:after="0" w:line="230"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Franklin Resources, Inc. </w:t>
      </w:r>
      <w:r>
        <w:rPr>
          <w:rFonts w:ascii="Times New Roman" w:cs="Times New Roman" w:eastAsia="Times New Roman" w:hAnsi="Times New Roman"/>
          <w:sz w:val="14"/>
          <w:szCs w:val="14"/>
          <w:color w:val="auto"/>
        </w:rPr>
        <w:t>Based on Schedule 13G filed on February 4, 2022 by Franklin Resources, Inc. (“FRI), Charles B. Johnson, Rupert H. Johnson, Jr. and Franklin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Advisers, Inc. The shares listed are beneficially owned by one or more open or closed-end investment companies or other managed accounts that are investment management clients of investment managers that are direct and indirect investment advisory subsidiaries (the “Investment Management Subsidiaries”) of FRI. Charles B. Johnson and Rupert H. Johnson, Jr. (the “Principal Shareholders”) each own in excess of 10% of the outstanding common stock of FRI and are the principal stockholders of FRI. FRI and the Principal Shareholders may be deemed to be, for purposes of Rule 13d-3, the beneficial owners of securities held by persons and entities for whom or for which FRI subsidiaries provide investment management services. FRI, the Principal Shareholders and each of the Investment Management Subsidiaries disclaim any pecuniary interest in any of such securities. The principal address for FRI and the Principal Shareholders is One Franklin Parkway, San Mateo, CA 94403.</w:t>
      </w:r>
    </w:p>
    <w:p>
      <w:pPr>
        <w:spacing w:after="0" w:line="27" w:lineRule="exact"/>
        <w:rPr>
          <w:rFonts w:ascii="Times New Roman" w:cs="Times New Roman" w:eastAsia="Times New Roman" w:hAnsi="Times New Roman"/>
          <w:sz w:val="14"/>
          <w:szCs w:val="14"/>
          <w:b w:val="1"/>
          <w:bCs w:val="1"/>
          <w:color w:val="auto"/>
        </w:rPr>
      </w:pPr>
    </w:p>
    <w:p>
      <w:pPr>
        <w:ind w:left="1000" w:right="40" w:hanging="884"/>
        <w:spacing w:after="0" w:line="243" w:lineRule="auto"/>
        <w:tabs>
          <w:tab w:leader="none" w:pos="10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Entities affiliated with Suvretta Capital Management, LLC. </w:t>
      </w:r>
      <w:r>
        <w:rPr>
          <w:rFonts w:ascii="Times New Roman" w:cs="Times New Roman" w:eastAsia="Times New Roman" w:hAnsi="Times New Roman"/>
          <w:sz w:val="14"/>
          <w:szCs w:val="14"/>
          <w:color w:val="auto"/>
        </w:rPr>
        <w:t>Based on Schedule 13G/A filed on February 11, 2022. Consists of 1,746,300 shares held directly by Averill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Master Fund, Ltd. (“Averill”), which may be deemed to be indirectly beneficially owned by Suvretta Capital Management, LLC (“Suvretta”) and Mr. Cowen. Suvretta, Averill and Aaron Cowen share voting and dispositive power with respect to the</w:t>
      </w:r>
    </w:p>
    <w:p>
      <w:pPr>
        <w:spacing w:after="0" w:line="1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00"/>
        <w:spacing w:after="0" w:line="261" w:lineRule="auto"/>
        <w:rPr>
          <w:sz w:val="20"/>
          <w:szCs w:val="20"/>
          <w:color w:val="auto"/>
        </w:rPr>
      </w:pPr>
      <w:r>
        <w:rPr>
          <w:rFonts w:ascii="Times New Roman" w:cs="Times New Roman" w:eastAsia="Times New Roman" w:hAnsi="Times New Roman"/>
          <w:sz w:val="14"/>
          <w:szCs w:val="14"/>
          <w:color w:val="auto"/>
        </w:rPr>
        <w:t>reported securities. The principal business address of Suvretta and Mr. Cowen is 540 Madison Avenue, 7th Floor, New York, New York 10022. The principal business address of Averill is c/o Maples Corporate Services Limited, P.O. Box 309, Ugland House, Grand Cayman KY1-1104, Cayman Islands.</w:t>
      </w:r>
    </w:p>
    <w:p>
      <w:pPr>
        <w:spacing w:after="0" w:line="12" w:lineRule="exact"/>
        <w:rPr>
          <w:sz w:val="20"/>
          <w:szCs w:val="20"/>
          <w:color w:val="auto"/>
        </w:rPr>
      </w:pPr>
    </w:p>
    <w:p>
      <w:pPr>
        <w:ind w:left="1000" w:right="60" w:hanging="884"/>
        <w:spacing w:after="0" w:line="233" w:lineRule="auto"/>
        <w:tabs>
          <w:tab w:leader="none" w:pos="100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Entities affiliated with R.A. Capital Management. </w:t>
      </w:r>
      <w:r>
        <w:rPr>
          <w:rFonts w:ascii="Times New Roman" w:cs="Times New Roman" w:eastAsia="Times New Roman" w:hAnsi="Times New Roman"/>
          <w:sz w:val="14"/>
          <w:szCs w:val="14"/>
          <w:color w:val="auto"/>
        </w:rPr>
        <w:t>Based on the Schedule 13G/A filed on February 14, 2022. Shares are held by RA Capital Healthcare Fund, L.P.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“Fund”). RA Capital Healthcare Fund GP, LLC (“RA Capital”) is the general partner of the Fund. The general partner of RA Capital is RA Capital Management GP, LLC, of which Dr. Kolchinsky and Mr. Shah are the controlling persons. RA Capital serves as investment adviser for the Fund and may be deemed a beneficial owner. The Fund has delegated to RA Capital the sole power to vote and the sole power to dispose of all securities held in the Fund’s portfolio, including the shares of the Issuer’s Common Stock reported herein. The principal address is200 Berkeley St., 18th Fl., Boston, MA 02116.</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320" w:top="455"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19" w:lineRule="exact"/>
        <w:rPr>
          <w:sz w:val="20"/>
          <w:szCs w:val="20"/>
          <w:color w:val="auto"/>
        </w:rPr>
      </w:pPr>
    </w:p>
    <w:p>
      <w:pPr>
        <w:ind w:left="120" w:right="40"/>
        <w:spacing w:after="0" w:line="290"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57"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Brokers with account holders who are KalVista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and annual report, you may</w:t>
      </w:r>
    </w:p>
    <w:p>
      <w:pPr>
        <w:spacing w:after="0" w:line="27" w:lineRule="exact"/>
        <w:rPr>
          <w:sz w:val="20"/>
          <w:szCs w:val="20"/>
          <w:color w:val="auto"/>
        </w:rPr>
      </w:pPr>
    </w:p>
    <w:p>
      <w:pPr>
        <w:ind w:left="120" w:right="140" w:hanging="4"/>
        <w:spacing w:after="0" w:line="253"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your broker, (2) direct your written request to: 55 Cambridge Parkway, Suite 901E, Cambridge, Massachusetts 02142 or (3) contact our Investor Relations manager by telephone at 857-999-0075. Stockholders who currently receive multiple copies of this Proxy Statement at their address and would like to request “householding” of their communications should contact their broker. In addition, the Company will promptly deliver, upon written or oral request to the address or telephone number above, a separate copy of the Annual Report on Form 10-K, Proxy Statement, Proxy Card or Notice of Internet Availability to a stockholder at a shared address to which a single copy of the documents was delivered.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w:t>
      </w:r>
    </w:p>
    <w:p>
      <w:pPr>
        <w:spacing w:after="0" w:line="176"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We have filed our Annual Report on Form 10-K for the fiscal year ended April 30, 2022 with the SEC. It is available free of charge at the SEC’s web site at www.sec.gov. Upon written request by a KalVista stockholder, we will mail to the stockholder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exhibits. All requests should be directed to the Corporate Secretary, 55 Cambridge Parkway, Suite 901E, Cambridge, Massachusetts 02142.</w:t>
      </w:r>
    </w:p>
    <w:p>
      <w:pPr>
        <w:spacing w:after="0" w:line="21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T. Andrew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20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 Andrew Crockett</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22,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lowerRoman"/>
      <w:start w:val="2"/>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6"/>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4"/>
    </w:lvl>
  </w:abstractNum>
  <w:abstractNum w:abstractNumId="32">
    <w:nsid w:val="3006C83E"/>
    <w:multiLevelType w:val="hybridMultilevel"/>
    <w:lvl w:ilvl="0">
      <w:lvlJc w:val="left"/>
      <w:lvlText w:val="(%1)"/>
      <w:numFmt w:val="decimal"/>
      <w:start w:val="19"/>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2022-08-22T15:28:54Z</dcterms:created>
  <dcterms:modified xsi:type="dcterms:W3CDTF">2022-08-22T15:28:54Z</dcterms:modified>
</cp:coreProperties>
</file>